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E52" w:rsidRDefault="00747E52" w:rsidP="007D1110">
      <w:pPr>
        <w:rPr>
          <w:rFonts w:ascii="Verdana" w:eastAsia="Times New Roman" w:hAnsi="Verdana" w:cstheme="minorHAnsi"/>
        </w:rPr>
      </w:pPr>
    </w:p>
    <w:p w:rsidR="00747E52" w:rsidRDefault="00747E52" w:rsidP="00747E52">
      <w:pPr>
        <w:spacing w:before="120" w:after="120"/>
        <w:rPr>
          <w:rFonts w:ascii="Verdana" w:hAnsi="Verdana"/>
          <w:b/>
        </w:rPr>
      </w:pPr>
      <w:r>
        <w:rPr>
          <w:rFonts w:ascii="Verdana" w:hAnsi="Verdana"/>
          <w:b/>
        </w:rPr>
        <w:t>ZAŁĄCZNIK NR 1C</w:t>
      </w:r>
    </w:p>
    <w:p w:rsidR="00747E52" w:rsidRPr="00747E52" w:rsidRDefault="00747E52" w:rsidP="00747E52">
      <w:pPr>
        <w:spacing w:before="240" w:after="120"/>
        <w:rPr>
          <w:rFonts w:ascii="Verdana" w:hAnsi="Verdana"/>
          <w:b/>
        </w:rPr>
      </w:pPr>
      <w:r w:rsidRPr="00747E52">
        <w:rPr>
          <w:rFonts w:ascii="Verdana" w:hAnsi="Verdana"/>
          <w:b/>
        </w:rPr>
        <w:t>Część 3 –  Hurtownia Danych wraz z powiązanym narzędziem raportowo-analitycznym (System HD)</w:t>
      </w:r>
    </w:p>
    <w:p w:rsidR="00747E52" w:rsidRDefault="00747E52" w:rsidP="00747E52">
      <w:pPr>
        <w:rPr>
          <w:rFonts w:ascii="Verdana" w:eastAsia="Times New Roman" w:hAnsi="Verdana" w:cstheme="minorHAnsi"/>
        </w:rPr>
      </w:pPr>
      <w:r>
        <w:rPr>
          <w:rFonts w:ascii="Verdana" w:eastAsia="Times New Roman" w:hAnsi="Verdana" w:cstheme="minorHAnsi"/>
        </w:rPr>
        <w:t>Uwaga: *funkcjonalności z ID rozpoczynającym się literą B pochodzą z Załącznika nr 7, pozostałe z OPZ</w:t>
      </w:r>
    </w:p>
    <w:p w:rsidR="0085546D" w:rsidRPr="00747E52" w:rsidRDefault="00DD0275" w:rsidP="007D1110">
      <w:pPr>
        <w:rPr>
          <w:rFonts w:ascii="Verdana" w:eastAsia="Times New Roman" w:hAnsi="Verdana" w:cstheme="minorHAnsi"/>
          <w:color w:val="FF0000"/>
        </w:rPr>
      </w:pPr>
      <w:r w:rsidRPr="00747E52">
        <w:rPr>
          <w:rFonts w:ascii="Verdana" w:eastAsia="Times New Roman" w:hAnsi="Verdana" w:cstheme="minorHAnsi"/>
          <w:color w:val="FF0000"/>
        </w:rPr>
        <w:t xml:space="preserve">Funkcjonalności z priorytetem „średni” - </w:t>
      </w:r>
      <w:r w:rsidRPr="00747E52">
        <w:rPr>
          <w:rFonts w:ascii="Verdana" w:eastAsia="Times New Roman" w:hAnsi="Verdana" w:cstheme="minorHAnsi"/>
          <w:b/>
          <w:color w:val="FF0000"/>
        </w:rPr>
        <w:t>2 pkt</w:t>
      </w:r>
      <w:r w:rsidRPr="00747E52">
        <w:rPr>
          <w:rFonts w:ascii="Verdana" w:eastAsia="Times New Roman" w:hAnsi="Verdana" w:cstheme="minorHAnsi"/>
          <w:color w:val="FF0000"/>
        </w:rPr>
        <w:t xml:space="preserve"> za każde TAK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1"/>
        <w:gridCol w:w="5386"/>
        <w:gridCol w:w="1809"/>
      </w:tblGrid>
      <w:tr w:rsidR="0085546D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46D" w:rsidRPr="00945F26" w:rsidRDefault="004F0E2D" w:rsidP="007D1110">
            <w:pPr>
              <w:rPr>
                <w:rFonts w:ascii="Verdana" w:hAnsi="Verdana" w:cstheme="minorHAnsi"/>
                <w:b/>
                <w:bCs/>
              </w:rPr>
            </w:pPr>
            <w:r>
              <w:rPr>
                <w:rFonts w:ascii="Verdana" w:hAnsi="Verdana" w:cstheme="minorHAnsi"/>
                <w:b/>
                <w:bCs/>
              </w:rPr>
              <w:t>ID wymagania zgodny z OPZ lub Załącznikiem nr 7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46D" w:rsidRPr="0085546D" w:rsidRDefault="0085546D" w:rsidP="007D1110">
            <w:pPr>
              <w:rPr>
                <w:rFonts w:ascii="Verdana" w:hAnsi="Verdana" w:cstheme="minorHAnsi"/>
                <w:b/>
                <w:bCs/>
              </w:rPr>
            </w:pPr>
            <w:r w:rsidRPr="00945F26">
              <w:rPr>
                <w:rFonts w:ascii="Verdana" w:hAnsi="Verdana" w:cstheme="minorHAnsi"/>
                <w:b/>
                <w:bCs/>
              </w:rPr>
              <w:t>Opis wymagania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46D" w:rsidRPr="0085546D" w:rsidRDefault="0085546D" w:rsidP="007D1110">
            <w:pPr>
              <w:spacing w:after="0"/>
              <w:rPr>
                <w:rFonts w:ascii="Verdana" w:hAnsi="Verdana" w:cstheme="minorHAnsi"/>
                <w:b/>
                <w:bCs/>
              </w:rPr>
            </w:pPr>
            <w:r w:rsidRPr="00945F26">
              <w:rPr>
                <w:rFonts w:ascii="Verdana" w:hAnsi="Verdana" w:cstheme="minorHAnsi"/>
                <w:b/>
                <w:bCs/>
              </w:rPr>
              <w:t>Czy wykonawca deklaruje w swojej ofercie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04.4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System powinien umożliwiać realizację audytu uprawnień również w zakresie modułów funkcjonalnych Systemu HD, takich jak procesy DBMS, procesy ETL, repozytoria danych, Data Marty, narzędzie raportowo-analityczne.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05.1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F859E7" w:rsidRDefault="00AD7C32" w:rsidP="00AD7C32">
            <w:pPr>
              <w:rPr>
                <w:rFonts w:ascii="Verdana" w:hAnsi="Verdana" w:cstheme="minorHAnsi"/>
                <w:bCs/>
              </w:rPr>
            </w:pPr>
            <w:r w:rsidRPr="00F859E7">
              <w:rPr>
                <w:rFonts w:ascii="Verdana" w:hAnsi="Verdana" w:cstheme="minorHAnsi"/>
                <w:bCs/>
              </w:rPr>
              <w:t>System powinien w ramach sesji prezentować użytkownikowi licznik czasu bezczynności. W przypadku automatycznego wylogowania system powinien informować użytkownika o automatycznym wylogowaniu z powodu bezczynności Użytkownika.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06.2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Oprócz standardowo zapewnianego śledzenia operacji w systemie, administrator powinien mieć możliwość samodzielnego zdefiniowania, jakie zdarzenia chce śledzić w bazie (zdefiniować jakie zdarzenia / operacje na bazie będą rejestrowane).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09.3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 xml:space="preserve">System musi być dostosowany do pracy w środowisku wielodomenowym. W szczególności użytkownicy różnych domen </w:t>
            </w:r>
            <w:r w:rsidRPr="0085546D">
              <w:rPr>
                <w:rFonts w:ascii="Verdana" w:hAnsi="Verdana" w:cstheme="minorHAnsi"/>
                <w:bCs/>
              </w:rPr>
              <w:lastRenderedPageBreak/>
              <w:t>będą mieli taką samą możliwość wykorzystania mechanizmu pojedynczego logowania.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lastRenderedPageBreak/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lastRenderedPageBreak/>
              <w:t>12.4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Wystąpienie zdarzeń wymienionych w punkcie 12.2 powinno być udostępniane w postaci powiadomień / alertów również Administratorowi Systemu Źródłowego, w przypadku, którego wystąpił problem.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26.9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System HD powinien umożliwiać wgląd w stan procesów ETL za pośrednictwem urządzeń mobilnych z zachowaniem wymaganych procedur bezpieczeństwa (np. VPN).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28.3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Narzędzie raportowo-analityczne powinno umożliwić zapis raportu do pliku w formacie zgodnym z HTML, PDF.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28.6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Narzędzie raportowo-analityczne, w ramach standardowej pracy użytkownika z raportem, powinno umożliwiać wykonanie następujących czynności:</w:t>
            </w:r>
          </w:p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- rozwijanie/drążenie danych według zdefiniowanych hierarchii (</w:t>
            </w:r>
            <w:proofErr w:type="spellStart"/>
            <w:r w:rsidRPr="0085546D">
              <w:rPr>
                <w:rFonts w:ascii="Verdana" w:hAnsi="Verdana" w:cstheme="minorHAnsi"/>
                <w:bCs/>
              </w:rPr>
              <w:t>drill</w:t>
            </w:r>
            <w:proofErr w:type="spellEnd"/>
            <w:r w:rsidRPr="0085546D">
              <w:rPr>
                <w:rFonts w:ascii="Verdana" w:hAnsi="Verdana" w:cstheme="minorHAnsi"/>
                <w:bCs/>
              </w:rPr>
              <w:t xml:space="preserve"> down),</w:t>
            </w:r>
          </w:p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- rozwijanie/drążenie danych według ścieżki wybranej przez użytkownika (</w:t>
            </w:r>
            <w:proofErr w:type="spellStart"/>
            <w:r w:rsidRPr="0085546D">
              <w:rPr>
                <w:rFonts w:ascii="Verdana" w:hAnsi="Verdana" w:cstheme="minorHAnsi"/>
                <w:bCs/>
              </w:rPr>
              <w:t>drill</w:t>
            </w:r>
            <w:proofErr w:type="spellEnd"/>
            <w:r w:rsidRPr="0085546D">
              <w:rPr>
                <w:rFonts w:ascii="Verdana" w:hAnsi="Verdana" w:cstheme="minorHAnsi"/>
                <w:bCs/>
              </w:rPr>
              <w:t xml:space="preserve"> </w:t>
            </w:r>
            <w:proofErr w:type="spellStart"/>
            <w:r w:rsidRPr="0085546D">
              <w:rPr>
                <w:rFonts w:ascii="Verdana" w:hAnsi="Verdana" w:cstheme="minorHAnsi"/>
                <w:bCs/>
              </w:rPr>
              <w:t>across</w:t>
            </w:r>
            <w:proofErr w:type="spellEnd"/>
            <w:r w:rsidRPr="0085546D">
              <w:rPr>
                <w:rFonts w:ascii="Verdana" w:hAnsi="Verdana" w:cstheme="minorHAnsi"/>
                <w:bCs/>
              </w:rPr>
              <w:t>),</w:t>
            </w:r>
          </w:p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 xml:space="preserve">- zmiana wyglądu m.in. zmiana kolorów, zmiana czcionki, zmiana pozycji nagłówków, </w:t>
            </w:r>
          </w:p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- transpozycja raportu tabelarycznego (zamiana wierszy z kolumnami).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28.7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 xml:space="preserve">Narzędzie raportowo-analityczne powinno zapewniać możliwość tworzenia powiązanych raportów. Wybranie konkretnej wartości w raporcie powinno dawać możliwość przekierowania do innego raportu, prezentującego wybrane dane w innym ujęciu </w:t>
            </w:r>
            <w:r w:rsidRPr="0085546D">
              <w:rPr>
                <w:rFonts w:ascii="Verdana" w:hAnsi="Verdana" w:cstheme="minorHAnsi"/>
                <w:bCs/>
              </w:rPr>
              <w:lastRenderedPageBreak/>
              <w:t>(np. pierwszy raport prezentuje dane zagregowane, a drugi raport powiązany prezentuje dane detaliczne dla wybranego przecięcia).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lastRenderedPageBreak/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lastRenderedPageBreak/>
              <w:t>28.8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Narzędzie raportowo-analityczne powinno umożliwiać tworzenie kokpitów managerskich pozwalających na graficzną i tabelaryczną prezentację wielu wskaźników na jednym ekranie użytkownika, z możliwością drążenia do danych szczegółowych i na odwrót (</w:t>
            </w:r>
            <w:proofErr w:type="spellStart"/>
            <w:r w:rsidRPr="0085546D">
              <w:rPr>
                <w:rFonts w:ascii="Verdana" w:hAnsi="Verdana" w:cstheme="minorHAnsi"/>
                <w:bCs/>
              </w:rPr>
              <w:t>drill</w:t>
            </w:r>
            <w:proofErr w:type="spellEnd"/>
            <w:r w:rsidRPr="0085546D">
              <w:rPr>
                <w:rFonts w:ascii="Verdana" w:hAnsi="Verdana" w:cstheme="minorHAnsi"/>
                <w:bCs/>
              </w:rPr>
              <w:t xml:space="preserve"> down i </w:t>
            </w:r>
            <w:proofErr w:type="spellStart"/>
            <w:r w:rsidRPr="0085546D">
              <w:rPr>
                <w:rFonts w:ascii="Verdana" w:hAnsi="Verdana" w:cstheme="minorHAnsi"/>
                <w:bCs/>
              </w:rPr>
              <w:t>drill</w:t>
            </w:r>
            <w:proofErr w:type="spellEnd"/>
            <w:r w:rsidRPr="0085546D">
              <w:rPr>
                <w:rFonts w:ascii="Verdana" w:hAnsi="Verdana" w:cstheme="minorHAnsi"/>
                <w:bCs/>
              </w:rPr>
              <w:t xml:space="preserve"> </w:t>
            </w:r>
            <w:proofErr w:type="spellStart"/>
            <w:r w:rsidRPr="0085546D">
              <w:rPr>
                <w:rFonts w:ascii="Verdana" w:hAnsi="Verdana" w:cstheme="minorHAnsi"/>
                <w:bCs/>
              </w:rPr>
              <w:t>up</w:t>
            </w:r>
            <w:proofErr w:type="spellEnd"/>
            <w:r w:rsidRPr="0085546D">
              <w:rPr>
                <w:rFonts w:ascii="Verdana" w:hAnsi="Verdana" w:cstheme="minorHAnsi"/>
                <w:bCs/>
              </w:rPr>
              <w:t>) . Drążenie może również polegać na uruchamianiu szczegółowych raportów po kliknięciu na wartość wybranego wskaźnika lub być zrealizowane bezpośrednio w ramach kokpitu.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30.3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 xml:space="preserve">Narzędzie raportowo-analityczne powinno także umożliwiać prezentację wyników na wykresie powierzchniowym.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30.4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Narzędzie raportowo-analityczne powinno także umożliwiać prezentację wyników na wykresie pierścieniowym.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30.5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Narzędzie raportowo-analityczne powinno także umożliwiać prezentację wyników na wykresie radarowym.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30.6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Narzędzie raportowo-analityczne powinno także umożliwiać prezentację wyników na wykresie bąbelkowym.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30.7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Narzędzie raportowo-analityczne powinno także umożliwiać prezentację wyników na wykresie konturowym.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30.12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Narzędzie raportowo-analityczne powinno również posiadać inne funkcjonalności w zakresie realizacji i prezentacji na wynikach analiz statystycznych:</w:t>
            </w:r>
          </w:p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lastRenderedPageBreak/>
              <w:t xml:space="preserve">- obliczanie </w:t>
            </w:r>
            <w:proofErr w:type="spellStart"/>
            <w:r w:rsidRPr="0085546D">
              <w:rPr>
                <w:rFonts w:ascii="Verdana" w:hAnsi="Verdana" w:cstheme="minorHAnsi"/>
                <w:bCs/>
              </w:rPr>
              <w:t>kwantyli</w:t>
            </w:r>
            <w:proofErr w:type="spellEnd"/>
            <w:r w:rsidRPr="0085546D">
              <w:rPr>
                <w:rFonts w:ascii="Verdana" w:hAnsi="Verdana" w:cstheme="minorHAnsi"/>
                <w:bCs/>
              </w:rPr>
              <w:t xml:space="preserve"> rzędu p, gdzie p jest parametrem wpisywanym przez użytkownika,</w:t>
            </w:r>
          </w:p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- wyświetlanie wykresu dystrybuanty i gęstości prawdopodobieństwa.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lastRenderedPageBreak/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lastRenderedPageBreak/>
              <w:t>B1.2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Dostęp do zasobu po podaniu dodatkowego loginu i hasła (nie SSO).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Uwierzytelnienie użytkowników w systemie jest dwuskładnikowe.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B1.8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System umożliwia wyłączenie możliwości wprowadzania danych nadmiarowych, których przetwarzanie nie jest uzasadnione z punktu widzenia celu przetwarzania (minimalizacja danych).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Aplikacje nie są dostępne spoza sieci wewnętrznej LAN UMW/CUI.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B1.10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System posiada dodatkowe zabezpieczenia autoryzujące dostęp (poza loginem i hasłem), np. dostęp tylko dla określonych adresów IP.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B1.14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Po kolejnym zalogowaniu się  tego samego użytkownika w tym samym czasie (do systemu/aplikacji, nie do domeny) system blokuje dostęp.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B1.16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System przechowuje historię dotyczącą blokowania i odblokowywania kont użytkowników.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Wprowadzanie loginu i hasła przez użytkownika odbywa się na dwóch różnych ekranach/stronach/oknach dialogowych.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B1.22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 xml:space="preserve">System informuje o stanie klawisza </w:t>
            </w:r>
            <w:proofErr w:type="spellStart"/>
            <w:r w:rsidRPr="00CE0055">
              <w:rPr>
                <w:rFonts w:ascii="Verdana" w:hAnsi="Verdana" w:cstheme="minorHAnsi"/>
                <w:bCs/>
              </w:rPr>
              <w:t>CapsLock</w:t>
            </w:r>
            <w:proofErr w:type="spellEnd"/>
            <w:r w:rsidRPr="00CE0055">
              <w:rPr>
                <w:rFonts w:ascii="Verdana" w:hAnsi="Verdana" w:cstheme="minorHAnsi"/>
                <w:bCs/>
              </w:rPr>
              <w:t xml:space="preserve">, </w:t>
            </w:r>
            <w:proofErr w:type="spellStart"/>
            <w:r w:rsidRPr="00CE0055">
              <w:rPr>
                <w:rFonts w:ascii="Verdana" w:hAnsi="Verdana" w:cstheme="minorHAnsi"/>
                <w:bCs/>
              </w:rPr>
              <w:t>NumLock</w:t>
            </w:r>
            <w:proofErr w:type="spellEnd"/>
            <w:r w:rsidRPr="00CE0055">
              <w:rPr>
                <w:rFonts w:ascii="Verdana" w:hAnsi="Verdana" w:cstheme="minorHAnsi"/>
                <w:bCs/>
              </w:rPr>
              <w:t xml:space="preserve"> oraz typie ustawionej klawiatury.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lastRenderedPageBreak/>
              <w:t>B1.32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Log systemowy lub rekord danych zawiera pełną informację o dokonywanych zmianach w rekordzie (kto, kiedy i jakie wartości zmienił; zakres logowanych zmian nie musi obejmować wszystkich atrybutów, a tylko newralgiczne).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B1.33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Log systemowy zawiera podstawowe informacje (data, czas, identyfikator, operacja) o wykonywanych operacjach przetwarzania -przeglądanie, edytowanie, tworzenie, kasowanie, indywidualne wydruki, eksportowanie danych, itp.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B1.34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Log systemowy zawiera szczegółowe informacje (data, czas, identyfikator, operacja, zakres, [uzasadnienie]) o wykonywanych operacjach przetwarzania - przeglądanie, edytowanie, tworzenie, kasowanie, indywidualne wydruki, eksportowanie danych, itp.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B3.4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Wszystkie dane przechowywane w zasobie informacyjnym IT (baza danych, pliki, ...) są szyfrowane z wykorzystaniem algorytmów, których skuteczność w czasie ich zastosowania jest powszechnie uznawana.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B4.2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System przechowuje informacje o przekazaniu danych innym podmiotom, np. w postaci flag 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</w:tbl>
    <w:p w:rsidR="00747E52" w:rsidRPr="007B5D44" w:rsidRDefault="00747E52" w:rsidP="00747E52">
      <w:pPr>
        <w:rPr>
          <w:rFonts w:ascii="Verdana" w:hAnsi="Verdana"/>
          <w:color w:val="FF0000"/>
        </w:rPr>
      </w:pPr>
      <w:r w:rsidRPr="007B5D44">
        <w:rPr>
          <w:rFonts w:ascii="Verdana" w:hAnsi="Verdana"/>
          <w:color w:val="FF0000"/>
        </w:rPr>
        <w:t xml:space="preserve">1 – niewłaściwe </w:t>
      </w:r>
      <w:r>
        <w:rPr>
          <w:rFonts w:ascii="Verdana" w:hAnsi="Verdana"/>
          <w:color w:val="FF0000"/>
        </w:rPr>
        <w:t>usunąć</w:t>
      </w:r>
    </w:p>
    <w:p w:rsidR="00A37503" w:rsidRPr="00747E52" w:rsidRDefault="00DD0275" w:rsidP="007D1110">
      <w:pPr>
        <w:rPr>
          <w:rFonts w:ascii="Verdana" w:eastAsia="Times New Roman" w:hAnsi="Verdana" w:cstheme="minorHAnsi"/>
          <w:color w:val="FF0000"/>
        </w:rPr>
      </w:pPr>
      <w:r w:rsidRPr="00747E52">
        <w:rPr>
          <w:rFonts w:ascii="Verdana" w:eastAsia="Times New Roman" w:hAnsi="Verdana" w:cstheme="minorHAnsi"/>
          <w:color w:val="FF0000"/>
        </w:rPr>
        <w:t xml:space="preserve">Funkcjonalności </w:t>
      </w:r>
      <w:r w:rsidR="00A37503" w:rsidRPr="00747E52">
        <w:rPr>
          <w:rFonts w:ascii="Verdana" w:eastAsia="Times New Roman" w:hAnsi="Verdana" w:cstheme="minorHAnsi"/>
          <w:color w:val="FF0000"/>
        </w:rPr>
        <w:t>z priorytetem „</w:t>
      </w:r>
      <w:r w:rsidR="008D57E6" w:rsidRPr="00747E52">
        <w:rPr>
          <w:rFonts w:ascii="Verdana" w:eastAsia="Times New Roman" w:hAnsi="Verdana" w:cstheme="minorHAnsi"/>
          <w:color w:val="FF0000"/>
        </w:rPr>
        <w:t>nisk</w:t>
      </w:r>
      <w:r w:rsidR="00A37503" w:rsidRPr="00747E52">
        <w:rPr>
          <w:rFonts w:ascii="Verdana" w:eastAsia="Times New Roman" w:hAnsi="Verdana" w:cstheme="minorHAnsi"/>
          <w:color w:val="FF0000"/>
        </w:rPr>
        <w:t>i”</w:t>
      </w:r>
      <w:r w:rsidRPr="00747E52">
        <w:rPr>
          <w:rFonts w:ascii="Verdana" w:eastAsia="Times New Roman" w:hAnsi="Verdana" w:cstheme="minorHAnsi"/>
          <w:color w:val="FF0000"/>
        </w:rPr>
        <w:t xml:space="preserve"> - </w:t>
      </w:r>
      <w:r w:rsidRPr="00747E52">
        <w:rPr>
          <w:rFonts w:ascii="Verdana" w:eastAsia="Times New Roman" w:hAnsi="Verdana" w:cstheme="minorHAnsi"/>
          <w:b/>
          <w:color w:val="FF0000"/>
        </w:rPr>
        <w:t>1 pkt</w:t>
      </w:r>
      <w:r w:rsidRPr="00747E52">
        <w:rPr>
          <w:rFonts w:ascii="Verdana" w:eastAsia="Times New Roman" w:hAnsi="Verdana" w:cstheme="minorHAnsi"/>
          <w:color w:val="FF0000"/>
        </w:rPr>
        <w:t xml:space="preserve"> za każde TAK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34"/>
        <w:gridCol w:w="5253"/>
        <w:gridCol w:w="1809"/>
      </w:tblGrid>
      <w:tr w:rsidR="00A37503" w:rsidRPr="004F2174" w:rsidTr="004F2174">
        <w:trPr>
          <w:trHeight w:val="801"/>
        </w:trPr>
        <w:tc>
          <w:tcPr>
            <w:tcW w:w="1834" w:type="dxa"/>
            <w:shd w:val="clear" w:color="auto" w:fill="auto"/>
          </w:tcPr>
          <w:p w:rsidR="00A37503" w:rsidRPr="00945F26" w:rsidRDefault="004F0E2D" w:rsidP="007D1110">
            <w:pPr>
              <w:rPr>
                <w:rFonts w:ascii="Verdana" w:hAnsi="Verdana" w:cstheme="minorHAnsi"/>
                <w:b/>
                <w:bCs/>
              </w:rPr>
            </w:pPr>
            <w:bookmarkStart w:id="0" w:name="_GoBack"/>
            <w:r>
              <w:rPr>
                <w:rFonts w:ascii="Verdana" w:hAnsi="Verdana" w:cstheme="minorHAnsi"/>
                <w:b/>
                <w:bCs/>
              </w:rPr>
              <w:t>ID wymagania zgodny z OPZ lub Załącznikiem nr 7</w:t>
            </w:r>
          </w:p>
        </w:tc>
        <w:tc>
          <w:tcPr>
            <w:tcW w:w="5253" w:type="dxa"/>
            <w:shd w:val="clear" w:color="auto" w:fill="auto"/>
          </w:tcPr>
          <w:p w:rsidR="00A37503" w:rsidRPr="004F2174" w:rsidRDefault="00A37503" w:rsidP="007D1110">
            <w:pPr>
              <w:rPr>
                <w:rFonts w:ascii="Verdana" w:hAnsi="Verdana" w:cstheme="minorHAnsi"/>
                <w:b/>
                <w:bCs/>
              </w:rPr>
            </w:pPr>
            <w:r w:rsidRPr="00945F26">
              <w:rPr>
                <w:rFonts w:ascii="Verdana" w:hAnsi="Verdana" w:cstheme="minorHAnsi"/>
                <w:b/>
                <w:bCs/>
              </w:rPr>
              <w:t>Opis wymagania</w:t>
            </w:r>
          </w:p>
        </w:tc>
        <w:tc>
          <w:tcPr>
            <w:tcW w:w="1809" w:type="dxa"/>
            <w:shd w:val="clear" w:color="auto" w:fill="auto"/>
          </w:tcPr>
          <w:p w:rsidR="00A37503" w:rsidRPr="004F2174" w:rsidRDefault="00A37503" w:rsidP="004F2174">
            <w:pPr>
              <w:rPr>
                <w:rFonts w:ascii="Verdana" w:hAnsi="Verdana" w:cstheme="minorHAnsi"/>
                <w:b/>
                <w:bCs/>
              </w:rPr>
            </w:pPr>
            <w:r w:rsidRPr="00945F26">
              <w:rPr>
                <w:rFonts w:ascii="Verdana" w:hAnsi="Verdana" w:cstheme="minorHAnsi"/>
                <w:b/>
                <w:bCs/>
              </w:rPr>
              <w:t>Czy wykonawca deklaruje w swojej ofercie</w:t>
            </w:r>
          </w:p>
        </w:tc>
      </w:tr>
      <w:tr w:rsidR="00747E52" w:rsidRPr="00C70133" w:rsidTr="004F2174">
        <w:trPr>
          <w:trHeight w:val="801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70133" w:rsidRDefault="00747E52" w:rsidP="007D1110">
            <w:pPr>
              <w:rPr>
                <w:rFonts w:ascii="Verdana" w:hAnsi="Verdana" w:cstheme="minorHAnsi"/>
                <w:bCs/>
              </w:rPr>
            </w:pPr>
            <w:r w:rsidRPr="00C70133">
              <w:rPr>
                <w:rFonts w:ascii="Verdana" w:hAnsi="Verdana" w:cstheme="minorHAnsi"/>
                <w:bCs/>
              </w:rPr>
              <w:lastRenderedPageBreak/>
              <w:t>30.8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70133" w:rsidRDefault="00747E52" w:rsidP="007D1110">
            <w:pPr>
              <w:rPr>
                <w:rFonts w:ascii="Verdana" w:hAnsi="Verdana" w:cstheme="minorHAnsi"/>
                <w:bCs/>
              </w:rPr>
            </w:pPr>
            <w:r w:rsidRPr="00C70133">
              <w:rPr>
                <w:rFonts w:ascii="Verdana" w:hAnsi="Verdana" w:cstheme="minorHAnsi"/>
                <w:bCs/>
              </w:rPr>
              <w:t>Narzędzie raportowo-analityczne powinno umożliwiać tworzenie wykresów mieszanych z zachowaniem logiki łączenia typów (np. punktowo-liniowy, kolumnowo-liniowy, kołowo-radarowy itp.)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C70133" w:rsidTr="004F2174">
        <w:trPr>
          <w:trHeight w:val="801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70133" w:rsidRDefault="00747E52" w:rsidP="007D1110">
            <w:pPr>
              <w:rPr>
                <w:rFonts w:ascii="Verdana" w:hAnsi="Verdana" w:cstheme="minorHAnsi"/>
                <w:bCs/>
              </w:rPr>
            </w:pPr>
            <w:r w:rsidRPr="00C70133">
              <w:rPr>
                <w:rFonts w:ascii="Verdana" w:hAnsi="Verdana" w:cstheme="minorHAnsi"/>
                <w:bCs/>
              </w:rPr>
              <w:t>30.10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70133" w:rsidRDefault="00747E52" w:rsidP="007D1110">
            <w:pPr>
              <w:rPr>
                <w:rFonts w:ascii="Verdana" w:hAnsi="Verdana" w:cstheme="minorHAnsi"/>
                <w:bCs/>
              </w:rPr>
            </w:pPr>
            <w:r w:rsidRPr="00C70133">
              <w:rPr>
                <w:rFonts w:ascii="Verdana" w:hAnsi="Verdana" w:cstheme="minorHAnsi"/>
                <w:bCs/>
              </w:rPr>
              <w:t>Narzędzie raportowo-analityczne powinno umożliwiać prezentację danych przestrzennych na tle map udostępnianych przez System Informacji Przestrzennej Wrocławia lub na tle innych podkładów mapowych zdefiniowanych przez Zamawiającego.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</w:tbl>
    <w:bookmarkEnd w:id="0"/>
    <w:p w:rsidR="00747E52" w:rsidRPr="007B5D44" w:rsidRDefault="00747E52" w:rsidP="00747E52">
      <w:pPr>
        <w:rPr>
          <w:rFonts w:ascii="Verdana" w:hAnsi="Verdana"/>
          <w:color w:val="FF0000"/>
        </w:rPr>
      </w:pPr>
      <w:r w:rsidRPr="007B5D44">
        <w:rPr>
          <w:rFonts w:ascii="Verdana" w:hAnsi="Verdana"/>
          <w:color w:val="FF0000"/>
        </w:rPr>
        <w:t xml:space="preserve">1 – niewłaściwe </w:t>
      </w:r>
      <w:r>
        <w:rPr>
          <w:rFonts w:ascii="Verdana" w:hAnsi="Verdana"/>
          <w:color w:val="FF0000"/>
        </w:rPr>
        <w:t>usunąć</w:t>
      </w:r>
    </w:p>
    <w:p w:rsidR="00747E52" w:rsidRDefault="00747E52" w:rsidP="007D1110">
      <w:pPr>
        <w:rPr>
          <w:rFonts w:ascii="Verdana" w:hAnsi="Verdana"/>
        </w:rPr>
      </w:pPr>
    </w:p>
    <w:p w:rsidR="00747E52" w:rsidRPr="00747E52" w:rsidRDefault="00747E52" w:rsidP="00747E52">
      <w:pPr>
        <w:rPr>
          <w:rFonts w:ascii="Verdana" w:hAnsi="Verdana"/>
        </w:rPr>
      </w:pPr>
    </w:p>
    <w:p w:rsidR="00747E52" w:rsidRDefault="00747E52" w:rsidP="00747E52">
      <w:pPr>
        <w:rPr>
          <w:rFonts w:ascii="Verdana" w:hAnsi="Verdana"/>
        </w:rPr>
      </w:pPr>
    </w:p>
    <w:p w:rsidR="00A37503" w:rsidRDefault="00747E52" w:rsidP="00747E52">
      <w:pPr>
        <w:tabs>
          <w:tab w:val="left" w:pos="1402"/>
        </w:tabs>
        <w:rPr>
          <w:rFonts w:ascii="Verdana" w:hAnsi="Verdana"/>
        </w:rPr>
      </w:pPr>
      <w:r>
        <w:rPr>
          <w:rFonts w:ascii="Verdana" w:hAnsi="Verdana"/>
        </w:rPr>
        <w:tab/>
      </w:r>
    </w:p>
    <w:p w:rsidR="00747E52" w:rsidRPr="00447C2B" w:rsidRDefault="00747E52" w:rsidP="00747E5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747E52" w:rsidRPr="00747E52" w:rsidRDefault="00747E52" w:rsidP="00747E52">
      <w:pPr>
        <w:tabs>
          <w:tab w:val="left" w:pos="1402"/>
        </w:tabs>
        <w:rPr>
          <w:rFonts w:ascii="Verdana" w:hAnsi="Verdana"/>
        </w:rPr>
      </w:pPr>
    </w:p>
    <w:sectPr w:rsidR="00747E52" w:rsidRPr="00747E52" w:rsidSect="002D4D9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C32" w:rsidRDefault="00AD7C32" w:rsidP="00A37503">
      <w:pPr>
        <w:spacing w:after="0" w:line="240" w:lineRule="auto"/>
      </w:pPr>
      <w:r>
        <w:separator/>
      </w:r>
    </w:p>
  </w:endnote>
  <w:endnote w:type="continuationSeparator" w:id="0">
    <w:p w:rsidR="00AD7C32" w:rsidRDefault="00AD7C32" w:rsidP="00A37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C32" w:rsidRPr="00E05470" w:rsidRDefault="00AD7C32" w:rsidP="00747E52">
    <w:pPr>
      <w:pStyle w:val="Stopka"/>
      <w:jc w:val="center"/>
      <w:rPr>
        <w:sz w:val="20"/>
        <w:szCs w:val="20"/>
      </w:rPr>
    </w:pPr>
    <w:r>
      <w:rPr>
        <w:rFonts w:ascii="Verdana" w:hAnsi="Verdana"/>
        <w:noProof/>
        <w:sz w:val="18"/>
        <w:szCs w:val="18"/>
      </w:rPr>
      <w:drawing>
        <wp:inline distT="0" distB="0" distL="0" distR="0">
          <wp:extent cx="5764530" cy="890270"/>
          <wp:effectExtent l="19050" t="0" r="7620" b="0"/>
          <wp:docPr id="1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05470">
      <w:rPr>
        <w:rFonts w:ascii="Verdana" w:hAnsi="Verdana"/>
        <w:sz w:val="20"/>
        <w:szCs w:val="20"/>
      </w:rPr>
      <w:t>„System transformacji cyfrowej i procesowej w Departamencie Strategii i Rozwoju Miasta Urzędu Miejskiego Wrocławia” nr RPDS.</w:t>
    </w:r>
    <w:hyperlink r:id="rId2" w:history="1">
      <w:r w:rsidRPr="00E05470">
        <w:rPr>
          <w:rFonts w:ascii="Verdana" w:hAnsi="Verdana"/>
          <w:sz w:val="20"/>
          <w:szCs w:val="20"/>
        </w:rPr>
        <w:t>02.01.02-02-0013</w:t>
      </w:r>
    </w:hyperlink>
    <w:r w:rsidRPr="00E05470">
      <w:rPr>
        <w:rFonts w:ascii="Verdana" w:hAnsi="Verdana"/>
        <w:sz w:val="20"/>
        <w:szCs w:val="20"/>
      </w:rPr>
      <w:t>/21</w:t>
    </w:r>
  </w:p>
  <w:p w:rsidR="00AD7C32" w:rsidRDefault="00AD7C32" w:rsidP="00747E52">
    <w:pPr>
      <w:pStyle w:val="Stopka"/>
    </w:pPr>
  </w:p>
  <w:p w:rsidR="00AD7C32" w:rsidRDefault="00AD7C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C32" w:rsidRDefault="00AD7C32" w:rsidP="00A37503">
      <w:pPr>
        <w:spacing w:after="0" w:line="240" w:lineRule="auto"/>
      </w:pPr>
      <w:r>
        <w:separator/>
      </w:r>
    </w:p>
  </w:footnote>
  <w:footnote w:type="continuationSeparator" w:id="0">
    <w:p w:rsidR="00AD7C32" w:rsidRDefault="00AD7C32" w:rsidP="00A375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B2CD5"/>
    <w:multiLevelType w:val="multilevel"/>
    <w:tmpl w:val="597ECE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3D4F35C6"/>
    <w:multiLevelType w:val="hybridMultilevel"/>
    <w:tmpl w:val="35B829FE"/>
    <w:lvl w:ilvl="0" w:tplc="C738330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B1D5B85"/>
    <w:multiLevelType w:val="multilevel"/>
    <w:tmpl w:val="597ECE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7503"/>
    <w:rsid w:val="00290D80"/>
    <w:rsid w:val="002D4D95"/>
    <w:rsid w:val="0044622D"/>
    <w:rsid w:val="00470293"/>
    <w:rsid w:val="004F0E2D"/>
    <w:rsid w:val="004F2174"/>
    <w:rsid w:val="005E244C"/>
    <w:rsid w:val="006B3EB8"/>
    <w:rsid w:val="00747E52"/>
    <w:rsid w:val="007D1110"/>
    <w:rsid w:val="00836F40"/>
    <w:rsid w:val="0085546D"/>
    <w:rsid w:val="00896068"/>
    <w:rsid w:val="008D57E6"/>
    <w:rsid w:val="00945F26"/>
    <w:rsid w:val="00A37503"/>
    <w:rsid w:val="00AD7C32"/>
    <w:rsid w:val="00AE5CCC"/>
    <w:rsid w:val="00B3444A"/>
    <w:rsid w:val="00BD2299"/>
    <w:rsid w:val="00C70133"/>
    <w:rsid w:val="00CE0055"/>
    <w:rsid w:val="00D37A61"/>
    <w:rsid w:val="00DD0275"/>
    <w:rsid w:val="00DE70A5"/>
    <w:rsid w:val="00E56E7A"/>
    <w:rsid w:val="00F1115A"/>
    <w:rsid w:val="00F859E7"/>
    <w:rsid w:val="00FF6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750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link w:val="AkapitzlistZnak"/>
    <w:uiPriority w:val="34"/>
    <w:qFormat/>
    <w:rsid w:val="00A37503"/>
    <w:pPr>
      <w:ind w:left="720"/>
      <w:contextualSpacing/>
    </w:pPr>
  </w:style>
  <w:style w:type="paragraph" w:styleId="Tekstkomentarza">
    <w:name w:val="annotation text"/>
    <w:basedOn w:val="Normalny"/>
    <w:link w:val="TekstkomentarzaZnak"/>
    <w:semiHidden/>
    <w:rsid w:val="00A37503"/>
    <w:pPr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37503"/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rsid w:val="00A37503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7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750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7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7503"/>
    <w:rPr>
      <w:rFonts w:eastAsiaTheme="minorEastAsia"/>
      <w:lang w:eastAsia="pl-PL"/>
    </w:rPr>
  </w:style>
  <w:style w:type="paragraph" w:customStyle="1" w:styleId="Akapitzlist1">
    <w:name w:val="Akapit z listą1"/>
    <w:basedOn w:val="Normalny"/>
    <w:rsid w:val="00945F26"/>
    <w:pPr>
      <w:ind w:left="720"/>
    </w:pPr>
    <w:rPr>
      <w:rFonts w:ascii="Calibri" w:eastAsia="Times New Roman" w:hAnsi="Calibri"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7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7E52"/>
    <w:rPr>
      <w:rFonts w:ascii="Tahoma" w:eastAsiaTheme="minorEastAsia" w:hAnsi="Tahoma" w:cs="Tahoma"/>
      <w:sz w:val="16"/>
      <w:szCs w:val="16"/>
      <w:lang w:eastAsia="pl-PL"/>
    </w:rPr>
  </w:style>
  <w:style w:type="paragraph" w:customStyle="1" w:styleId="ZALACZNIKMALYCENTER">
    <w:name w:val="ZALACZNIK_MALY_CENTER"/>
    <w:rsid w:val="00747E5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  <w:style w:type="paragraph" w:customStyle="1" w:styleId="Default">
    <w:name w:val="Default"/>
    <w:rsid w:val="00AD7C3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750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7503"/>
    <w:pPr>
      <w:ind w:left="720"/>
      <w:contextualSpacing/>
    </w:pPr>
  </w:style>
  <w:style w:type="paragraph" w:styleId="Tekstkomentarza">
    <w:name w:val="annotation text"/>
    <w:basedOn w:val="Normalny"/>
    <w:link w:val="TekstkomentarzaZnak"/>
    <w:semiHidden/>
    <w:rsid w:val="00A37503"/>
    <w:pPr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37503"/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7503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7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750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7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7503"/>
    <w:rPr>
      <w:rFonts w:eastAsiaTheme="minorEastAsia"/>
      <w:lang w:eastAsia="pl-PL"/>
    </w:rPr>
  </w:style>
  <w:style w:type="paragraph" w:customStyle="1" w:styleId="Akapitzlist1">
    <w:name w:val="Akapit z listą1"/>
    <w:basedOn w:val="Normalny"/>
    <w:rsid w:val="00945F26"/>
    <w:pPr>
      <w:ind w:left="720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975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Wenc</dc:creator>
  <cp:lastModifiedBy>cuimaan01</cp:lastModifiedBy>
  <cp:revision>2</cp:revision>
  <dcterms:created xsi:type="dcterms:W3CDTF">2021-11-10T09:50:00Z</dcterms:created>
  <dcterms:modified xsi:type="dcterms:W3CDTF">2021-11-10T09:50:00Z</dcterms:modified>
</cp:coreProperties>
</file>