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257AA7">
        <w:rPr>
          <w:rFonts w:ascii="Verdana" w:hAnsi="Verdana"/>
          <w:b/>
        </w:rPr>
        <w:t>Serwis i rozwój systemu SAP w modułach HR</w:t>
      </w:r>
      <w:r w:rsidR="00723491" w:rsidRPr="000800C0">
        <w:rPr>
          <w:rFonts w:ascii="Verdana" w:hAnsi="Verdana"/>
          <w:b/>
        </w:rPr>
        <w:t>”, znak sprawy: CUI-ZZ.3200.</w:t>
      </w:r>
      <w:r w:rsidR="00257AA7">
        <w:rPr>
          <w:rFonts w:ascii="Verdana" w:hAnsi="Verdana"/>
          <w:b/>
        </w:rPr>
        <w:t>8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257AA7">
      <w:rPr>
        <w:rFonts w:ascii="Verdana" w:hAnsi="Verdana"/>
        <w:b/>
      </w:rPr>
      <w:t>8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57AA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36DFB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12</cp:revision>
  <cp:lastPrinted>2020-02-07T12:53:00Z</cp:lastPrinted>
  <dcterms:created xsi:type="dcterms:W3CDTF">2021-09-03T10:48:00Z</dcterms:created>
  <dcterms:modified xsi:type="dcterms:W3CDTF">2022-05-19T15:59:00Z</dcterms:modified>
</cp:coreProperties>
</file>