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B428C0" w:rsidRDefault="00B428C0" w:rsidP="00B428C0">
      <w:pPr>
        <w:spacing w:after="480" w:line="276" w:lineRule="auto"/>
        <w:jc w:val="right"/>
        <w:rPr>
          <w:rFonts w:ascii="Verdana" w:hAnsi="Verdana"/>
          <w:b/>
        </w:rPr>
      </w:pPr>
      <w:r w:rsidRPr="00B428C0">
        <w:rPr>
          <w:rFonts w:ascii="Verdana" w:hAnsi="Verdana"/>
          <w:b/>
        </w:rPr>
        <w:t>ZAŁĄCZNIK NR 9</w:t>
      </w:r>
      <w:r w:rsidR="006012C1" w:rsidRPr="00B428C0">
        <w:rPr>
          <w:rFonts w:ascii="Verdana" w:hAnsi="Verdana"/>
          <w:b/>
        </w:rPr>
        <w:t xml:space="preserve"> DO SIWZ</w:t>
      </w:r>
    </w:p>
    <w:p w:rsidR="00E97A92" w:rsidRPr="00B428C0" w:rsidRDefault="00B428C0" w:rsidP="00B428C0">
      <w:pPr>
        <w:spacing w:before="240" w:after="0" w:line="276" w:lineRule="auto"/>
        <w:rPr>
          <w:rFonts w:ascii="Verdana" w:hAnsi="Verdana"/>
          <w:b/>
        </w:rPr>
      </w:pPr>
      <w:r w:rsidRPr="00B428C0">
        <w:rPr>
          <w:rFonts w:ascii="Verdana" w:hAnsi="Verdana"/>
          <w:b/>
        </w:rPr>
        <w:t xml:space="preserve">OŚWIADCZENIE </w:t>
      </w:r>
    </w:p>
    <w:p w:rsidR="00B428C0" w:rsidRPr="00B428C0" w:rsidRDefault="00B428C0" w:rsidP="00B428C0">
      <w:pPr>
        <w:spacing w:before="240" w:after="0" w:line="276" w:lineRule="auto"/>
        <w:rPr>
          <w:rFonts w:ascii="Verdana" w:hAnsi="Verdana"/>
          <w:b/>
        </w:rPr>
      </w:pPr>
      <w:r w:rsidRPr="00B428C0">
        <w:rPr>
          <w:rFonts w:ascii="Verdana" w:hAnsi="Verdana"/>
          <w:b/>
        </w:rPr>
        <w:t>PRODUKT RÓWNOWAŻNY</w:t>
      </w:r>
    </w:p>
    <w:p w:rsidR="00B428C0" w:rsidRPr="00B428C0" w:rsidRDefault="00B428C0" w:rsidP="00B428C0">
      <w:pPr>
        <w:spacing w:before="240" w:after="0" w:line="276" w:lineRule="auto"/>
        <w:rPr>
          <w:rFonts w:ascii="Verdana" w:hAnsi="Verdana"/>
          <w:b/>
        </w:rPr>
      </w:pPr>
      <w:r w:rsidRPr="00B428C0">
        <w:rPr>
          <w:rFonts w:ascii="Verdana" w:hAnsi="Verdana"/>
          <w:b/>
        </w:rPr>
        <w:t xml:space="preserve">Oświadczam, że w postepowaniu: Dostawa dodatkowych licencji oraz zapewnienie wsparcia producenta na oprogramowanie </w:t>
      </w:r>
      <w:proofErr w:type="spellStart"/>
      <w:r w:rsidRPr="00B428C0">
        <w:rPr>
          <w:rFonts w:ascii="Verdana" w:hAnsi="Verdana"/>
          <w:b/>
        </w:rPr>
        <w:t>Commvault</w:t>
      </w:r>
      <w:proofErr w:type="spellEnd"/>
      <w:r w:rsidRPr="00B428C0">
        <w:rPr>
          <w:rFonts w:ascii="Verdana" w:hAnsi="Verdana"/>
          <w:b/>
        </w:rPr>
        <w:t>, oferuję, w ramach dostawy licencji oprogramowania</w:t>
      </w:r>
      <w:bookmarkStart w:id="0" w:name="_GoBack"/>
      <w:bookmarkEnd w:id="0"/>
      <w:r w:rsidRPr="00B428C0">
        <w:rPr>
          <w:rFonts w:ascii="Verdana" w:hAnsi="Verdana"/>
          <w:b/>
        </w:rPr>
        <w:t xml:space="preserve"> do wykonywania kopii zapasowych , produkt </w:t>
      </w:r>
      <w:proofErr w:type="gramStart"/>
      <w:r w:rsidRPr="00B428C0">
        <w:rPr>
          <w:rFonts w:ascii="Verdana" w:hAnsi="Verdana"/>
          <w:b/>
        </w:rPr>
        <w:t>równoważny  do</w:t>
      </w:r>
      <w:proofErr w:type="gramEnd"/>
      <w:r w:rsidRPr="00B428C0">
        <w:rPr>
          <w:rFonts w:ascii="Verdana" w:hAnsi="Verdana"/>
          <w:b/>
        </w:rPr>
        <w:t xml:space="preserve"> wskazanego w załączniku nr 1 d Umowy, tj.:</w:t>
      </w:r>
    </w:p>
    <w:p w:rsidR="00B428C0" w:rsidRPr="00B428C0" w:rsidRDefault="00B428C0" w:rsidP="00B428C0">
      <w:pPr>
        <w:spacing w:before="240" w:after="0" w:line="276" w:lineRule="auto"/>
        <w:rPr>
          <w:rFonts w:ascii="Verdana" w:hAnsi="Verdana"/>
          <w:b/>
        </w:rPr>
      </w:pPr>
      <w:r w:rsidRPr="00B428C0">
        <w:rPr>
          <w:rFonts w:ascii="Verdana" w:hAnsi="Verdana"/>
          <w:b/>
        </w:rPr>
        <w:t xml:space="preserve">_________________________________________________ </w:t>
      </w:r>
      <w:r w:rsidRPr="00B428C0">
        <w:rPr>
          <w:rFonts w:ascii="Verdana" w:hAnsi="Verdana"/>
          <w:b/>
        </w:rPr>
        <w:br/>
        <w:t>(podać pełną nazwę i wszystkie parametry pozwalające na jednoznaczną identyfikację produktu)</w:t>
      </w:r>
    </w:p>
    <w:p w:rsidR="00B428C0" w:rsidRPr="00B428C0" w:rsidRDefault="00B428C0" w:rsidP="00B428C0">
      <w:pPr>
        <w:spacing w:before="240" w:after="0" w:line="276" w:lineRule="auto"/>
        <w:rPr>
          <w:rFonts w:ascii="Verdana" w:hAnsi="Verdana"/>
          <w:b/>
        </w:rPr>
      </w:pPr>
      <w:r w:rsidRPr="00B428C0">
        <w:rPr>
          <w:rFonts w:ascii="Verdana" w:hAnsi="Verdana"/>
          <w:b/>
        </w:rPr>
        <w:t xml:space="preserve">Jednocześnie oświadczam, że </w:t>
      </w:r>
    </w:p>
    <w:p w:rsidR="00B428C0" w:rsidRPr="00B428C0" w:rsidRDefault="00B428C0" w:rsidP="00B428C0">
      <w:pPr>
        <w:pStyle w:val="Akapitzlist"/>
        <w:numPr>
          <w:ilvl w:val="1"/>
          <w:numId w:val="7"/>
        </w:numPr>
        <w:contextualSpacing/>
        <w:rPr>
          <w:rFonts w:ascii="Verdana" w:hAnsi="Verdana" w:cs="Arial"/>
          <w:iCs/>
          <w:color w:val="000000"/>
          <w:sz w:val="22"/>
          <w:szCs w:val="22"/>
          <w:lang w:eastAsia="pl-PL"/>
        </w:rPr>
      </w:pPr>
      <w:proofErr w:type="gramStart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>z</w:t>
      </w:r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>aoferowane</w:t>
      </w:r>
      <w:proofErr w:type="gramEnd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 xml:space="preserve"> równoważne rozwiązanie dla licencji pojemnościowych:</w:t>
      </w:r>
    </w:p>
    <w:p w:rsidR="00B428C0" w:rsidRPr="00B428C0" w:rsidRDefault="00B428C0" w:rsidP="00B428C0">
      <w:pPr>
        <w:pStyle w:val="Akapitzlist"/>
        <w:numPr>
          <w:ilvl w:val="2"/>
          <w:numId w:val="7"/>
        </w:numPr>
        <w:contextualSpacing/>
        <w:rPr>
          <w:rFonts w:ascii="Verdana" w:hAnsi="Verdana" w:cs="Arial"/>
          <w:iCs/>
          <w:color w:val="000000"/>
          <w:sz w:val="22"/>
          <w:szCs w:val="22"/>
          <w:lang w:eastAsia="pl-PL"/>
        </w:rPr>
      </w:pPr>
      <w:proofErr w:type="gramStart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>zapewnia</w:t>
      </w:r>
      <w:proofErr w:type="gramEnd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 xml:space="preserve"> </w:t>
      </w:r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 xml:space="preserve">możliwość wykonywania kopii zapasowych oraz odtwarzania następujących typów systemów operacyjnych, baz danych i aplikacji: IBM AIX, Linux, Windows, MSSQL, </w:t>
      </w:r>
      <w:proofErr w:type="spellStart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>Oracle</w:t>
      </w:r>
      <w:proofErr w:type="spellEnd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 xml:space="preserve">, </w:t>
      </w:r>
      <w:proofErr w:type="spellStart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>PostgreSQL</w:t>
      </w:r>
      <w:proofErr w:type="spellEnd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>, DB2, Active Directory, Exchange. Wykonywanie kopii zapasowych nie może wymagać zatrzymywania baz danych czy aplikacji.</w:t>
      </w:r>
    </w:p>
    <w:p w:rsidR="00B428C0" w:rsidRPr="00B428C0" w:rsidRDefault="00B428C0" w:rsidP="00B428C0">
      <w:pPr>
        <w:numPr>
          <w:ilvl w:val="2"/>
          <w:numId w:val="7"/>
        </w:numPr>
        <w:spacing w:after="0" w:line="240" w:lineRule="auto"/>
        <w:contextualSpacing/>
        <w:rPr>
          <w:rFonts w:ascii="Verdana" w:eastAsia="Times New Roman" w:hAnsi="Verdana" w:cs="Arial"/>
          <w:iCs/>
          <w:color w:val="000000"/>
          <w:lang w:eastAsia="pl-PL"/>
        </w:rPr>
      </w:pP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wspiera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funkcjonalność 1-Touch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Bare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Metal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Recovery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>, czyli umożliwiać odzyskanie systemów z uszkodzonymi komponentami, takimi jak niedostępne woluminy lub uszkodzone dyski z tą samą lub różnymi konfiguracjami sprzętowymi bez ręcznego instalowania poszczególnych pakietów oprogramowania lub systemów operacyjnych.</w:t>
      </w:r>
    </w:p>
    <w:p w:rsidR="00B428C0" w:rsidRPr="00B428C0" w:rsidRDefault="00B428C0" w:rsidP="00B428C0">
      <w:pPr>
        <w:numPr>
          <w:ilvl w:val="2"/>
          <w:numId w:val="7"/>
        </w:numPr>
        <w:spacing w:after="0" w:line="240" w:lineRule="auto"/>
        <w:contextualSpacing/>
        <w:rPr>
          <w:rFonts w:ascii="Verdana" w:eastAsia="Times New Roman" w:hAnsi="Verdana" w:cs="Arial"/>
          <w:iCs/>
          <w:color w:val="000000"/>
          <w:lang w:eastAsia="pl-PL"/>
        </w:rPr>
      </w:pP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wspiera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wykonywanie kopii zapasowych z klastrów np. Microsoft Cluster (MSCS) oraz klastrów innych niż MSCS.</w:t>
      </w:r>
    </w:p>
    <w:p w:rsidR="00B428C0" w:rsidRPr="00B428C0" w:rsidRDefault="00B428C0" w:rsidP="00B428C0">
      <w:pPr>
        <w:numPr>
          <w:ilvl w:val="2"/>
          <w:numId w:val="7"/>
        </w:numPr>
        <w:spacing w:after="0" w:line="240" w:lineRule="auto"/>
        <w:contextualSpacing/>
        <w:rPr>
          <w:rFonts w:ascii="Verdana" w:eastAsia="Times New Roman" w:hAnsi="Verdana" w:cs="Arial"/>
          <w:iCs/>
          <w:color w:val="000000"/>
          <w:lang w:eastAsia="pl-PL"/>
        </w:rPr>
      </w:pP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umożliwia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wykonywanie następujących kopii zapasowych: kopia różnicowa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differential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backup), pełna kopia zapasowa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full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backup), przyrostowa kopia zapasowa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incremental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backup), syntetyczna pełna kopia zapasowa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synthetic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full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backup)</w:t>
      </w:r>
    </w:p>
    <w:p w:rsidR="00B428C0" w:rsidRPr="00B428C0" w:rsidRDefault="00B428C0" w:rsidP="00B428C0">
      <w:pPr>
        <w:numPr>
          <w:ilvl w:val="2"/>
          <w:numId w:val="7"/>
        </w:numPr>
        <w:spacing w:after="0" w:line="240" w:lineRule="auto"/>
        <w:contextualSpacing/>
        <w:rPr>
          <w:rFonts w:ascii="Verdana" w:eastAsia="Times New Roman" w:hAnsi="Verdana" w:cs="Arial"/>
          <w:iCs/>
          <w:color w:val="000000"/>
          <w:lang w:eastAsia="pl-PL"/>
        </w:rPr>
      </w:pP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umożliwia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wykonanie kopii zapasowych maszyn wirtualnych z wszystkich wskazanych systemów wirtualizacji: Microsoft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Hyper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-V,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Oracle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VM,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VMware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vCenter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or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ESX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server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),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Kubernetes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,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Citrix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Hypervisor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XenServer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>)</w:t>
      </w:r>
    </w:p>
    <w:p w:rsidR="00B428C0" w:rsidRPr="00B428C0" w:rsidRDefault="00B428C0" w:rsidP="00B428C0">
      <w:pPr>
        <w:pStyle w:val="Akapitzlist"/>
        <w:numPr>
          <w:ilvl w:val="1"/>
          <w:numId w:val="7"/>
        </w:numPr>
        <w:contextualSpacing/>
        <w:rPr>
          <w:rFonts w:ascii="Verdana" w:hAnsi="Verdana" w:cs="Arial"/>
          <w:iCs/>
          <w:color w:val="000000"/>
          <w:sz w:val="22"/>
          <w:szCs w:val="22"/>
          <w:lang w:eastAsia="pl-PL"/>
        </w:rPr>
      </w:pPr>
      <w:proofErr w:type="gramStart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>d</w:t>
      </w:r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>la</w:t>
      </w:r>
      <w:proofErr w:type="gramEnd"/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 xml:space="preserve"> wszystkich rozwiązań wymienionych w pkt. </w:t>
      </w:r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>1-5</w:t>
      </w:r>
      <w:r w:rsidRPr="00B428C0">
        <w:rPr>
          <w:rFonts w:ascii="Verdana" w:hAnsi="Verdana" w:cs="Arial"/>
          <w:iCs/>
          <w:color w:val="000000"/>
          <w:sz w:val="22"/>
          <w:szCs w:val="22"/>
          <w:lang w:eastAsia="pl-PL"/>
        </w:rPr>
        <w:t xml:space="preserve"> i:</w:t>
      </w:r>
    </w:p>
    <w:p w:rsidR="00B428C0" w:rsidRPr="00B428C0" w:rsidRDefault="00B428C0" w:rsidP="00B428C0">
      <w:pPr>
        <w:numPr>
          <w:ilvl w:val="2"/>
          <w:numId w:val="7"/>
        </w:numPr>
        <w:spacing w:after="0" w:line="240" w:lineRule="auto"/>
        <w:contextualSpacing/>
        <w:rPr>
          <w:rFonts w:ascii="Verdana" w:eastAsia="Times New Roman" w:hAnsi="Verdana" w:cs="Arial"/>
          <w:iCs/>
          <w:color w:val="000000"/>
          <w:lang w:eastAsia="pl-PL"/>
        </w:rPr>
      </w:pP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wykorzystuje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systemy składowania danych Zamawiającego zarówno dyskowe jak i taśmowe. Jeżeli zaoferowane rozwiązanie nie będzie się integrować z wykorzystywanymi przez Zamawiającego systemami backupowymi to Wykonawca zobowiązany jest do rozbudowy zasobów sprzętowych Zamawiającego (macierze dyskowe, biblioteki taśmowe) </w:t>
      </w: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tak aby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zbackupowane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dane były przechowywane w obu CPD (Centrum Przetwarzania Danych) Zamawiającego z takimi samymi retencjami oraz ilością kopii jak w systemach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backopowych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Zamawiającego.</w:t>
      </w:r>
    </w:p>
    <w:p w:rsidR="00B428C0" w:rsidRPr="00B428C0" w:rsidRDefault="00B428C0" w:rsidP="00B428C0">
      <w:pPr>
        <w:numPr>
          <w:ilvl w:val="2"/>
          <w:numId w:val="7"/>
        </w:numPr>
        <w:spacing w:after="0" w:line="240" w:lineRule="auto"/>
        <w:contextualSpacing/>
        <w:rPr>
          <w:rFonts w:ascii="Verdana" w:eastAsia="Times New Roman" w:hAnsi="Verdana" w:cs="Arial"/>
          <w:iCs/>
          <w:color w:val="000000"/>
          <w:lang w:eastAsia="pl-PL"/>
        </w:rPr>
      </w:pPr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proponowane rozwiązanie </w:t>
      </w:r>
      <w:r w:rsidRPr="00B428C0">
        <w:rPr>
          <w:rFonts w:ascii="Verdana" w:eastAsia="Times New Roman" w:hAnsi="Verdana" w:cs="Arial"/>
          <w:iCs/>
          <w:color w:val="000000"/>
          <w:lang w:eastAsia="pl-PL"/>
        </w:rPr>
        <w:t>jest wspierane</w:t>
      </w:r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przez posiadane przez Zamawiającego biblioteki taśmowe co musi być potwierdzone w publicznie dostępnym dokumencie producenta bibliotek taśmowych Zamawiającego np. na stronie: https</w:t>
      </w: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://www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>.</w:t>
      </w:r>
      <w:proofErr w:type="gram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ibm</w:t>
      </w:r>
      <w:proofErr w:type="gramEnd"/>
      <w:r w:rsidRPr="00B428C0">
        <w:rPr>
          <w:rFonts w:ascii="Verdana" w:eastAsia="Times New Roman" w:hAnsi="Verdana" w:cs="Arial"/>
          <w:iCs/>
          <w:color w:val="000000"/>
          <w:lang w:eastAsia="pl-PL"/>
        </w:rPr>
        <w:t>.com/downloads/cas/ORLZ7EMG</w:t>
      </w:r>
    </w:p>
    <w:p w:rsidR="00B428C0" w:rsidRPr="00B428C0" w:rsidRDefault="00B428C0" w:rsidP="00B428C0">
      <w:pPr>
        <w:numPr>
          <w:ilvl w:val="2"/>
          <w:numId w:val="7"/>
        </w:numPr>
        <w:spacing w:after="0" w:line="240" w:lineRule="auto"/>
        <w:contextualSpacing/>
        <w:rPr>
          <w:rFonts w:ascii="Verdana" w:eastAsia="Times New Roman" w:hAnsi="Verdana" w:cs="Arial"/>
          <w:iCs/>
          <w:color w:val="000000"/>
          <w:lang w:eastAsia="pl-PL"/>
        </w:rPr>
      </w:pPr>
      <w:r w:rsidRPr="00B428C0">
        <w:rPr>
          <w:rFonts w:ascii="Verdana" w:eastAsia="Times New Roman" w:hAnsi="Verdana" w:cs="Arial"/>
          <w:iCs/>
          <w:color w:val="000000"/>
          <w:lang w:eastAsia="pl-PL"/>
        </w:rPr>
        <w:lastRenderedPageBreak/>
        <w:t xml:space="preserve">Proponowane rozwiązanie </w:t>
      </w:r>
      <w:r w:rsidRPr="00B428C0">
        <w:rPr>
          <w:rFonts w:ascii="Verdana" w:eastAsia="Times New Roman" w:hAnsi="Verdana" w:cs="Arial"/>
          <w:iCs/>
          <w:color w:val="000000"/>
          <w:lang w:eastAsia="pl-PL"/>
        </w:rPr>
        <w:t>zapewnia</w:t>
      </w:r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m.in. funkcjonalność WORM (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write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once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read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 xml:space="preserve"> </w:t>
      </w:r>
      <w:proofErr w:type="spellStart"/>
      <w:r w:rsidRPr="00B428C0">
        <w:rPr>
          <w:rFonts w:ascii="Verdana" w:eastAsia="Times New Roman" w:hAnsi="Verdana" w:cs="Arial"/>
          <w:iCs/>
          <w:color w:val="000000"/>
          <w:lang w:eastAsia="pl-PL"/>
        </w:rPr>
        <w:t>many</w:t>
      </w:r>
      <w:proofErr w:type="spellEnd"/>
      <w:r w:rsidRPr="00B428C0">
        <w:rPr>
          <w:rFonts w:ascii="Verdana" w:eastAsia="Times New Roman" w:hAnsi="Verdana" w:cs="Arial"/>
          <w:iCs/>
          <w:color w:val="000000"/>
          <w:lang w:eastAsia="pl-PL"/>
        </w:rPr>
        <w:t>).</w:t>
      </w:r>
    </w:p>
    <w:p w:rsidR="006012C1" w:rsidRPr="00B428C0" w:rsidRDefault="006012C1" w:rsidP="00B428C0">
      <w:pPr>
        <w:pStyle w:val="Tekstkomentarza"/>
        <w:spacing w:line="276" w:lineRule="auto"/>
        <w:ind w:left="709"/>
        <w:rPr>
          <w:rFonts w:ascii="Verdana" w:hAnsi="Verdana"/>
          <w:b/>
          <w:color w:val="FF0000"/>
          <w:sz w:val="22"/>
          <w:szCs w:val="22"/>
        </w:rPr>
      </w:pPr>
    </w:p>
    <w:sectPr w:rsidR="006012C1" w:rsidRPr="00B428C0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1C9234D"/>
    <w:multiLevelType w:val="multilevel"/>
    <w:tmpl w:val="537E91D8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357" w:hanging="357"/>
      </w:pPr>
      <w:rPr>
        <w:rFonts w:ascii="Verdana" w:eastAsia="Times New Roman" w:hAnsi="Verdana" w:cs="Arial"/>
      </w:rPr>
    </w:lvl>
    <w:lvl w:ilvl="2">
      <w:start w:val="1"/>
      <w:numFmt w:val="decimal"/>
      <w:lvlText w:val="%3."/>
      <w:lvlJc w:val="left"/>
      <w:pPr>
        <w:ind w:left="357" w:hanging="357"/>
      </w:pPr>
      <w:rPr>
        <w:rFonts w:ascii="Verdana" w:eastAsia="Times New Roman" w:hAnsi="Verdana" w:cs="Arial"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5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427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4115"/>
    <w:rsid w:val="004661A0"/>
    <w:rsid w:val="00480DF5"/>
    <w:rsid w:val="0049138A"/>
    <w:rsid w:val="00494336"/>
    <w:rsid w:val="00494B92"/>
    <w:rsid w:val="004B06ED"/>
    <w:rsid w:val="004C63A8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13499"/>
    <w:rsid w:val="0063676F"/>
    <w:rsid w:val="0065279A"/>
    <w:rsid w:val="006A5565"/>
    <w:rsid w:val="006B1744"/>
    <w:rsid w:val="006D5DEE"/>
    <w:rsid w:val="00724AB1"/>
    <w:rsid w:val="007300C9"/>
    <w:rsid w:val="00732067"/>
    <w:rsid w:val="00765B71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28C0"/>
    <w:rsid w:val="00B45AE9"/>
    <w:rsid w:val="00B672CF"/>
    <w:rsid w:val="00B74AF3"/>
    <w:rsid w:val="00B91AD3"/>
    <w:rsid w:val="00BA7DFB"/>
    <w:rsid w:val="00BE37C2"/>
    <w:rsid w:val="00C03F4F"/>
    <w:rsid w:val="00C20FC2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BE0077-2098-4D57-8E21-8E23F034E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2022-10-05T06:59:00Z</dcterms:created>
  <dcterms:modified xsi:type="dcterms:W3CDTF">2022-10-05T06:59:00Z</dcterms:modified>
</cp:coreProperties>
</file>