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C0734D">
        <w:rPr>
          <w:rFonts w:ascii="Verdana" w:hAnsi="Verdana"/>
          <w:sz w:val="22"/>
          <w:szCs w:val="22"/>
        </w:rPr>
        <w:t>„</w:t>
      </w:r>
      <w:r w:rsidR="00016809" w:rsidRPr="00C0734D">
        <w:rPr>
          <w:rFonts w:ascii="Verdana" w:hAnsi="Verdana"/>
          <w:b/>
          <w:sz w:val="22"/>
          <w:szCs w:val="22"/>
        </w:rPr>
        <w:t>Zakup systemu kadrowego, płacowego i finansowo – księgowego dla placówek oświatowych”</w:t>
      </w:r>
      <w:r w:rsidR="00F30A29" w:rsidRPr="00C0734D">
        <w:rPr>
          <w:rFonts w:ascii="Verdana" w:hAnsi="Verdana"/>
          <w:b/>
          <w:sz w:val="22"/>
          <w:szCs w:val="22"/>
        </w:rPr>
        <w:t xml:space="preserve">,  </w:t>
      </w:r>
      <w:r w:rsidR="00016809" w:rsidRPr="00C0734D">
        <w:rPr>
          <w:rFonts w:ascii="Verdana" w:hAnsi="Verdana"/>
          <w:sz w:val="22"/>
          <w:szCs w:val="22"/>
        </w:rPr>
        <w:t>znak postępowania CUI-ZZ.3201.1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016809" w:rsidRPr="00C0734D">
        <w:rPr>
          <w:rFonts w:ascii="Verdana" w:hAnsi="Verdana"/>
          <w:sz w:val="22"/>
          <w:szCs w:val="22"/>
        </w:rPr>
        <w:t>3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9E3062" w:rsidRPr="00C0734D" w:rsidRDefault="009E3062" w:rsidP="00016809">
      <w:pPr>
        <w:spacing w:before="240" w:after="0" w:line="360" w:lineRule="auto"/>
        <w:ind w:left="0" w:firstLine="0"/>
        <w:jc w:val="left"/>
        <w:rPr>
          <w:rFonts w:ascii="Verdana" w:hAnsi="Verdana"/>
          <w:b/>
          <w:i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Oferuję System o nazwie: ……………………………………………… </w:t>
      </w:r>
    </w:p>
    <w:p w:rsidR="009E3062" w:rsidRPr="00C0734D" w:rsidRDefault="009E3062" w:rsidP="003D0904">
      <w:pPr>
        <w:pStyle w:val="Akapitzlist"/>
        <w:numPr>
          <w:ilvl w:val="0"/>
          <w:numId w:val="5"/>
        </w:numPr>
        <w:spacing w:before="18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Cena</w:t>
      </w:r>
    </w:p>
    <w:p w:rsidR="00AD5A62" w:rsidRPr="00C0734D" w:rsidRDefault="00AD5A62" w:rsidP="00AD5A62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1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3118"/>
        <w:gridCol w:w="1276"/>
        <w:gridCol w:w="1276"/>
        <w:gridCol w:w="1701"/>
      </w:tblGrid>
      <w:tr w:rsidR="00510ADE" w:rsidRPr="00C0734D" w:rsidTr="006A1EF3">
        <w:tc>
          <w:tcPr>
            <w:tcW w:w="1134" w:type="dxa"/>
            <w:tcBorders>
              <w:left w:val="single" w:sz="4" w:space="0" w:color="auto"/>
            </w:tcBorders>
            <w:shd w:val="clear" w:color="auto" w:fill="F2F2F2"/>
          </w:tcPr>
          <w:p w:rsidR="00510ADE" w:rsidRPr="00C0734D" w:rsidRDefault="00510ADE" w:rsidP="00510ADE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510ADE" w:rsidRPr="00C0734D" w:rsidTr="006A1EF3">
        <w:trPr>
          <w:trHeight w:val="134"/>
        </w:trPr>
        <w:tc>
          <w:tcPr>
            <w:tcW w:w="1134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510ADE" w:rsidRPr="00C0734D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przez Wykonawcę Analizy Systemowej</w:t>
            </w:r>
          </w:p>
        </w:tc>
        <w:tc>
          <w:tcPr>
            <w:tcW w:w="1276" w:type="dxa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Wdrożenie i dostosowanie Systemu do potrzeb Zamawiającego</w:t>
            </w:r>
          </w:p>
        </w:tc>
        <w:tc>
          <w:tcPr>
            <w:tcW w:w="1276" w:type="dxa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</w:rPr>
              <w:t>Świadczenie Usług Utrzymania dla Modułu Płacowego do centralnego naliczania płac dla placówek oświatowych obsługiwanych przez CUI; w tym udzielenie licencji przez okres 17 miesięcy</w:t>
            </w:r>
            <w:r w:rsidRPr="00C0734D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  <w:r w:rsidR="00975393" w:rsidRPr="00C0734D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 dla Modułu Finansowo-Księgowego do centralnego rozliczania placówek oświatowych obsługiwanych przez CUI; w tym udzielenie licencji przez okres 12 miesięcy </w:t>
            </w:r>
          </w:p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  <w:r w:rsidR="00975393" w:rsidRPr="00C0734D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4a</w:t>
            </w: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5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FD3" w:rsidRPr="00C0734D" w:rsidRDefault="00510ADE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wartość </w:t>
            </w:r>
            <w:r w:rsidR="00707FD3" w:rsidRPr="00C0734D">
              <w:rPr>
                <w:rFonts w:ascii="Verdana" w:hAnsi="Verdana"/>
                <w:b/>
              </w:rPr>
              <w:t xml:space="preserve"> brutto </w:t>
            </w:r>
            <w:r w:rsidRPr="00C0734D">
              <w:rPr>
                <w:rFonts w:ascii="Verdana" w:hAnsi="Verdana"/>
                <w:b/>
              </w:rPr>
              <w:t>za realizację zamówienia podstawowego</w:t>
            </w:r>
            <w:r w:rsidR="008B5B46" w:rsidRPr="00C0734D">
              <w:rPr>
                <w:rFonts w:ascii="Verdana" w:hAnsi="Verdana"/>
                <w:b/>
              </w:rPr>
              <w:t xml:space="preserve"> </w:t>
            </w:r>
          </w:p>
          <w:p w:rsidR="00510ADE" w:rsidRPr="00C0734D" w:rsidRDefault="008B5B46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(suma pozycji 1, 2, 3,4)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734D" w:rsidRDefault="00510ADE" w:rsidP="00AD5A6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prawa opcji</w:t>
            </w: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6</w:t>
            </w:r>
            <w:r w:rsidR="00510ADE" w:rsidRPr="00C0734D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z dotychczasowego systemu płacowego wykorzystywanego przez CUI do centralnego naliczania płac dla placówek oświatowych </w:t>
            </w:r>
            <w:r w:rsidRPr="00C0734D">
              <w:rPr>
                <w:rFonts w:ascii="Verdana" w:hAnsi="Verdana"/>
                <w:b/>
              </w:rPr>
              <w:lastRenderedPageBreak/>
              <w:t>obsługiwanych przez CUI</w:t>
            </w:r>
          </w:p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6</w:t>
            </w:r>
            <w:r w:rsidR="00510ADE" w:rsidRPr="00C0734D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migracja danych dla 1 placówki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7</w:t>
            </w:r>
            <w:r w:rsidR="00510ADE" w:rsidRPr="00C0734D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10ADE" w:rsidRPr="00C0734D" w:rsidRDefault="00510ADE" w:rsidP="00C07F4B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 xml:space="preserve">Integracja </w:t>
            </w:r>
            <w:r w:rsidR="00C07F4B" w:rsidRPr="00C0734D">
              <w:rPr>
                <w:rFonts w:ascii="Verdana" w:hAnsi="Verdana"/>
                <w:b/>
              </w:rPr>
              <w:t>Modułu Płacowego</w:t>
            </w:r>
            <w:r w:rsidRPr="00C0734D">
              <w:rPr>
                <w:rFonts w:ascii="Verdana" w:hAnsi="Verdana"/>
                <w:b/>
              </w:rPr>
              <w:t xml:space="preserve"> z dotychczasowym systemem finansowo-księgowym wykorzystywanym przez CUI do centralnego rozliczania placówek oświatowych obsługiwanych przez CUI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8.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Migracja danych kadrowych z systemów kadrowych wykorzystywanych dotychczas przez placówki oświatowe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migracja danych kadrowych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9.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Migracja danych płacowych z systemów płacowych wykorzystywanych dotychczas przez placówki oświatowe nieobsługiwane przez CUI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migracja danych płacowych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10.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Utrzymania, w tym udzielenie licencji dla Modułu Płacowego 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>dla</w:t>
            </w:r>
            <w:r w:rsidRPr="00C0734D">
              <w:rPr>
                <w:rFonts w:ascii="Verdana" w:hAnsi="Verdana"/>
                <w:b/>
                <w:u w:val="single"/>
              </w:rPr>
              <w:t xml:space="preserve"> </w:t>
            </w:r>
            <w:r w:rsidRPr="00C0734D">
              <w:rPr>
                <w:rFonts w:ascii="Verdana" w:hAnsi="Verdana"/>
                <w:b/>
              </w:rPr>
              <w:t>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C0734D">
              <w:rPr>
                <w:rFonts w:ascii="Verdana" w:hAnsi="Verdana"/>
                <w:b/>
              </w:rPr>
              <w:t xml:space="preserve"> przez okres 67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</w:rPr>
              <w:t>dla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734D">
              <w:rPr>
                <w:rFonts w:ascii="Verdana" w:hAnsi="Verdana"/>
                <w:b/>
              </w:rPr>
              <w:t xml:space="preserve"> przez okres 84 miesięcy</w:t>
            </w:r>
          </w:p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  <w:r w:rsidRPr="00C0734D">
              <w:rPr>
                <w:rFonts w:ascii="Calibri" w:hAnsi="Calibri" w:cs="Tahoma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</w:t>
            </w:r>
            <w:r w:rsidRPr="00C0734D">
              <w:rPr>
                <w:rFonts w:ascii="Verdana" w:hAnsi="Verdana"/>
                <w:b/>
              </w:rPr>
              <w:lastRenderedPageBreak/>
              <w:t xml:space="preserve">Utrzymania, w tym udzielenie licencji dla Modułu Finansowo-Księgowego </w:t>
            </w:r>
          </w:p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11a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>dla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C0734D">
              <w:rPr>
                <w:rFonts w:ascii="Verdana" w:hAnsi="Verdana"/>
                <w:b/>
              </w:rPr>
              <w:t xml:space="preserve"> przez okres 67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dla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734D">
              <w:rPr>
                <w:rFonts w:ascii="Verdana" w:hAnsi="Verdana"/>
                <w:b/>
              </w:rPr>
              <w:t xml:space="preserve"> przez okres 84 miesięcy </w:t>
            </w:r>
          </w:p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12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Utrzymania, w tym udzielenie licencji dla Modułu Kadrowego dla </w:t>
            </w:r>
            <w:r w:rsidRPr="00C0734D">
              <w:rPr>
                <w:rFonts w:ascii="Verdana" w:hAnsi="Verdana"/>
                <w:b/>
                <w:u w:val="single"/>
              </w:rPr>
              <w:t>wszystkich placówek oświatowych</w:t>
            </w:r>
            <w:r w:rsidRPr="00C0734D">
              <w:rPr>
                <w:rFonts w:ascii="Verdana" w:hAnsi="Verdana"/>
                <w:b/>
              </w:rPr>
              <w:t xml:space="preserve"> przez okres 84 miesięcy 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12a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13.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Opracowanie i przekazanie Zamawiającemu Dokumentacji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14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 xml:space="preserve">Przeprowadzenie szkoleń dla administratorów Systemu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15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szkoleń dla Użytkowników Modułu Kadrowego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15a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16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szkoleń dla Użytkowników Modułu Płacowego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16a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17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Przeprowadzenie szkoleń </w:t>
            </w:r>
            <w:r w:rsidRPr="00C0734D">
              <w:rPr>
                <w:rFonts w:ascii="Verdana" w:hAnsi="Verdana"/>
                <w:b/>
              </w:rPr>
              <w:lastRenderedPageBreak/>
              <w:t>dla Użytkowników Modułu Finansowo - Księgowego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17a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18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Asysty Stanowiskowej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(75 roboczogodzin)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18a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19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Uruchomienie portalu pracowniczego, w tym udzielenie licencji </w:t>
            </w:r>
          </w:p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>dla placówek oświatowych obsługiwanych przez CUI na okres 84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 xml:space="preserve">dla placówek oświatowych nieobsługiwanych przez CUI na okres 84 miesięcy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19c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775D76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20.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Uruchomienie w ramach Modułu Finansowo-Księgowego Kasy Zapomogowo-Pożyczkowej, w tym udzielenie licencji dla placówek oświatowych na okres 84 miesięcy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1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20a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Uruchomienie w ramach Modułu Finansowo-Księgowego Zakładowego Funduszu Świadczeń Socjalnych, w tym udzielenie licencji dla placówek oświatowych na okres 84 miesięcy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2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1A0EA2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21a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lastRenderedPageBreak/>
              <w:t>22.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Uruchomienie w ramach Modułu Finansowo-Księgowego </w:t>
            </w:r>
            <w:r w:rsidR="00C07F4B" w:rsidRPr="00C0734D">
              <w:rPr>
                <w:rFonts w:ascii="Verdana" w:hAnsi="Verdana"/>
                <w:b/>
              </w:rPr>
              <w:t>Obsługi m</w:t>
            </w:r>
            <w:r w:rsidRPr="00C0734D">
              <w:rPr>
                <w:rFonts w:ascii="Verdana" w:hAnsi="Verdana"/>
                <w:b/>
              </w:rPr>
              <w:t xml:space="preserve">ajątku, w tym udzielenie licencji dla placówek oświatowych na okres 84 miesięcy 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22a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23.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Rozwoju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(1200 Roboczogodzin)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23a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24.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kadrowych dla </w:t>
            </w:r>
            <w:proofErr w:type="spellStart"/>
            <w:r w:rsidR="003D6601" w:rsidRPr="00C0734D">
              <w:rPr>
                <w:rFonts w:ascii="Verdana" w:hAnsi="Verdana"/>
                <w:b/>
              </w:rPr>
              <w:t>max</w:t>
            </w:r>
            <w:proofErr w:type="spellEnd"/>
            <w:r w:rsidR="003D6601" w:rsidRPr="00C0734D">
              <w:rPr>
                <w:rFonts w:ascii="Verdana" w:hAnsi="Verdana"/>
                <w:b/>
              </w:rPr>
              <w:t xml:space="preserve">. </w:t>
            </w:r>
            <w:r w:rsidRPr="00C0734D">
              <w:rPr>
                <w:rFonts w:ascii="Verdana" w:hAnsi="Verdana"/>
                <w:b/>
              </w:rPr>
              <w:t>7 placówek oświatowych, o której mowa w §7 ust. 7 Umowy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D339D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24a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25.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płacowych dla </w:t>
            </w:r>
            <w:proofErr w:type="spellStart"/>
            <w:r w:rsidR="003D6601" w:rsidRPr="00C0734D">
              <w:rPr>
                <w:rFonts w:ascii="Verdana" w:hAnsi="Verdana"/>
                <w:b/>
              </w:rPr>
              <w:t>max</w:t>
            </w:r>
            <w:proofErr w:type="spellEnd"/>
            <w:r w:rsidR="003D6601" w:rsidRPr="00C0734D">
              <w:rPr>
                <w:rFonts w:ascii="Verdana" w:hAnsi="Verdana"/>
                <w:b/>
              </w:rPr>
              <w:t xml:space="preserve">. </w:t>
            </w:r>
            <w:r w:rsidRPr="00C0734D">
              <w:rPr>
                <w:rFonts w:ascii="Verdana" w:hAnsi="Verdana"/>
                <w:b/>
              </w:rPr>
              <w:t>7 placówek oświatowych, o której mowa w §7 ust. 7 Umowy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25a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za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26.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Wykonanie modyfikacji Systemu wymienionych w Załączniku nr 1  do Umowy posiadających status „Opcja”</w:t>
            </w:r>
          </w:p>
          <w:p w:rsidR="001007CE" w:rsidRPr="00C0734D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 w:cs="Arial"/>
                <w:color w:val="000000"/>
              </w:rPr>
              <w:t>SP.49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obsługuje portal pracowniczy (elektroniczne paski wynagrodzeń, elektroniczna wysyłka  PIT do pracownika z potwierdzeniem odbioru.  Elektroniczna wysyłka RMUA (Rocznej informacji dla osoby ubezpieczonej ) do pracownika  z potwierdzeniem odbioru. Przekazywane dane powinny być zaszyfrowane i zabezpieczone hasłem.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FK.105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System automatycznie przenosi wartości z odpowiednio zdefiniowanych kont księgowych do odpowiednich pozycji sprawozdania wraz z załącznikami (bilansu, rachunku zysków i strat, zestawienia zmian w funduszu jednostki)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FK.108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umożliwia sporządzenie sprawozdania i dokonanie wydruku sprawozdań według klasyfikacji budżetowej wg opcji wyboru z możliwością wywołania konkretnego elementu klasyfikacji budżetowej, np. dział, nr zadania i kont księgowych. Sprawozdanie dokładnie wg aktualnych wytycznych ministerialnych i z uwzględnieniem wymagań miasta Wrocław: Rb-27S, Rb-28S.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FK.115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 xml:space="preserve">System musi oferować API </w:t>
            </w:r>
            <w:proofErr w:type="spellStart"/>
            <w:r w:rsidRPr="00C0734D">
              <w:rPr>
                <w:rFonts w:ascii="Verdana" w:hAnsi="Verdana" w:cs="Arial"/>
              </w:rPr>
              <w:t>Webservice</w:t>
            </w:r>
            <w:proofErr w:type="spellEnd"/>
            <w:r w:rsidRPr="00C0734D">
              <w:rPr>
                <w:rFonts w:ascii="Verdana" w:hAnsi="Verdana" w:cs="Arial"/>
              </w:rPr>
              <w:t xml:space="preserve"> lub obsługę plikową umożliwiającą wstępną rejestrację dokumentów pochodzących z systemu zewnętrznego, według wymagań przepisów prawa i w zależności od potrzeb jednostki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FK.116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musi umożliwiać automatyczne dekretowanie danych pochodzących z innych modułów lub systemów.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FK.133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 xml:space="preserve">System musi umożliwiać generowanie plików sprawozdań dla systemu SJO Bestia@ i </w:t>
            </w:r>
            <w:proofErr w:type="spellStart"/>
            <w:r w:rsidRPr="00C0734D">
              <w:rPr>
                <w:rFonts w:ascii="Verdana" w:hAnsi="Verdana" w:cs="Arial"/>
              </w:rPr>
              <w:t>Besti</w:t>
            </w:r>
            <w:proofErr w:type="spellEnd"/>
            <w:r w:rsidRPr="00C0734D">
              <w:rPr>
                <w:rFonts w:ascii="Verdana" w:hAnsi="Verdana" w:cs="Arial"/>
              </w:rPr>
              <w:t>@ JST. Format XML – jako funkcjonalność systemu Finansowo-Księgowego.</w:t>
            </w:r>
          </w:p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 tym możliwość wygenerowania pliku XML dla wybranego sprawozdania RB-XX, gotowego do wczytania do systemu SJO BESTI@, co ograniczy konieczność wprowadzania danych ręcznie do SJO BESTI@.</w:t>
            </w:r>
          </w:p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 xml:space="preserve">Dla sprawozdań </w:t>
            </w:r>
            <w:r w:rsidRPr="00C0734D">
              <w:rPr>
                <w:rFonts w:ascii="Verdana" w:hAnsi="Verdana" w:cs="Arial"/>
              </w:rPr>
              <w:lastRenderedPageBreak/>
              <w:t>finansowych (Bilans, Rachunek Zysków i Strat, Zestawienie Zmian Funduszu), System musi generować na polecenie użytkownika Systemu plik dla każdego ze sprawozdań w formacie XML z wszystkimi danymi sprawozdania, który będzie umożliwiał prawidłowe wczytanie do systemu SJO BESTI@, aby nie trzeba było wprowadzać danych ręcznie.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FK.134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System musi umożliwiać generowanie sprawozdań RB-28S i RB-27S w ustalonym formacie w pliku MS Excel w ustalonym układzie gotowym do wczytania do zewnętrznej aplikacji (aplikacja Konsolidacja sprawozdań)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7705DE">
        <w:trPr>
          <w:trHeight w:val="475"/>
        </w:trPr>
        <w:tc>
          <w:tcPr>
            <w:tcW w:w="1134" w:type="dxa"/>
            <w:vAlign w:val="center"/>
          </w:tcPr>
          <w:p w:rsidR="00485689" w:rsidRPr="00C0734D" w:rsidRDefault="006A1EF3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27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689" w:rsidRPr="00C0734D" w:rsidRDefault="00485689" w:rsidP="00707FD3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wartość brutto za realizację zamówienia w ramach prawa opcji </w:t>
            </w:r>
          </w:p>
          <w:p w:rsidR="00485689" w:rsidRPr="00C0734D" w:rsidRDefault="00485689" w:rsidP="001007CE">
            <w:pPr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(Suma pozycji : 6, 7, 8, 9, 10, 11, 12, 13,14, 15, 16, 17, 18,</w:t>
            </w:r>
            <w:r w:rsidR="001007CE" w:rsidRPr="00C0734D">
              <w:rPr>
                <w:rFonts w:ascii="Verdana" w:hAnsi="Verdana"/>
              </w:rPr>
              <w:t xml:space="preserve"> 19, 20, 21, 22, 23, 24, 25, 26</w:t>
            </w:r>
            <w:r w:rsidRPr="00C0734D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85689" w:rsidRPr="00C0734D" w:rsidRDefault="00485689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7705DE">
        <w:trPr>
          <w:trHeight w:val="475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485689" w:rsidRPr="00C0734D" w:rsidRDefault="006A1EF3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28</w:t>
            </w:r>
            <w:r w:rsidR="00485689" w:rsidRPr="00C0734D">
              <w:rPr>
                <w:rFonts w:ascii="Verdana" w:hAnsi="Verdana"/>
              </w:rPr>
              <w:t>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Razem – cena ofertowa</w:t>
            </w:r>
          </w:p>
          <w:p w:rsidR="00485689" w:rsidRPr="00C0734D" w:rsidRDefault="00485689" w:rsidP="001007CE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2"/>
                <w:szCs w:val="12"/>
              </w:rPr>
              <w:t xml:space="preserve">(Suma pozycji : 5, </w:t>
            </w:r>
            <w:r w:rsidR="001007CE" w:rsidRPr="00C0734D">
              <w:rPr>
                <w:rFonts w:ascii="Verdana" w:hAnsi="Verdana"/>
                <w:b/>
                <w:sz w:val="12"/>
                <w:szCs w:val="12"/>
              </w:rPr>
              <w:t>27</w:t>
            </w:r>
            <w:r w:rsidRPr="00C0734D">
              <w:rPr>
                <w:rFonts w:ascii="Verdana" w:hAnsi="Verdana"/>
                <w:b/>
                <w:sz w:val="12"/>
                <w:szCs w:val="1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016809" w:rsidRPr="00C0734D" w:rsidRDefault="00510ADE" w:rsidP="00BC1B46">
      <w:pPr>
        <w:pStyle w:val="Akapitzlist"/>
        <w:spacing w:before="120" w:after="0" w:line="276" w:lineRule="auto"/>
        <w:ind w:left="567"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Uwaga:</w:t>
      </w:r>
    </w:p>
    <w:p w:rsidR="00801FE3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Przy wycenie usług, wszędzie gdzie cena zależy od ilości placówek, na rzecz których dany przedmiot umowy będzie realizowany należy przyjąć kalkulacyjnie maksymalną ilość placówek.</w:t>
      </w:r>
    </w:p>
    <w:p w:rsidR="00510ADE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Liczba</w:t>
      </w:r>
      <w:r w:rsidR="00510ADE" w:rsidRPr="00C0734D">
        <w:rPr>
          <w:rFonts w:ascii="Verdana" w:hAnsi="Verdana"/>
          <w:sz w:val="22"/>
          <w:szCs w:val="22"/>
        </w:rPr>
        <w:t xml:space="preserve"> placówek oświatowych obsługiwanych przez CUI</w:t>
      </w:r>
      <w:r w:rsidRPr="00C0734D">
        <w:rPr>
          <w:rFonts w:ascii="Verdana" w:hAnsi="Verdana"/>
          <w:sz w:val="22"/>
          <w:szCs w:val="22"/>
        </w:rPr>
        <w:t>:</w:t>
      </w:r>
      <w:r w:rsidR="00FC56DD" w:rsidRPr="00C0734D">
        <w:rPr>
          <w:rFonts w:ascii="Verdana" w:hAnsi="Verdana"/>
          <w:sz w:val="22"/>
          <w:szCs w:val="22"/>
        </w:rPr>
        <w:t xml:space="preserve"> </w:t>
      </w:r>
      <w:r w:rsidR="00510ADE" w:rsidRPr="00C0734D">
        <w:rPr>
          <w:rFonts w:ascii="Verdana" w:hAnsi="Verdana"/>
          <w:sz w:val="22"/>
          <w:szCs w:val="22"/>
        </w:rPr>
        <w:t>131</w:t>
      </w:r>
    </w:p>
    <w:p w:rsidR="00510ADE" w:rsidRPr="00C0734D" w:rsidRDefault="00510ADE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</w:t>
      </w:r>
      <w:r w:rsidR="00801FE3" w:rsidRPr="00C0734D">
        <w:rPr>
          <w:rFonts w:ascii="Verdana" w:hAnsi="Verdana"/>
          <w:sz w:val="22"/>
          <w:szCs w:val="22"/>
        </w:rPr>
        <w:t>a</w:t>
      </w:r>
      <w:r w:rsidRPr="00C0734D">
        <w:rPr>
          <w:rFonts w:ascii="Verdana" w:hAnsi="Verdana"/>
          <w:sz w:val="22"/>
          <w:szCs w:val="22"/>
        </w:rPr>
        <w:t xml:space="preserve"> placówek oświatowych nieobsługiwanych przez CUI: 88</w:t>
      </w:r>
    </w:p>
    <w:p w:rsidR="003D0904" w:rsidRPr="00C0734D" w:rsidRDefault="003D0904" w:rsidP="007705DE">
      <w:pPr>
        <w:pStyle w:val="Akapitzlist"/>
        <w:numPr>
          <w:ilvl w:val="0"/>
          <w:numId w:val="1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Dotyczy pkt. KZP.01 - KZP. 18 Załącznika nr 1 do projektu umowy (OPZ)</w:t>
      </w:r>
    </w:p>
    <w:p w:rsidR="003D0904" w:rsidRPr="00C0734D" w:rsidRDefault="003D0904" w:rsidP="00C655CD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Dotyczy pkt. ZFŚS.01 – ZFŚS.24 Załącznika nr 1 do projektu umowy (OPZ)</w:t>
      </w:r>
    </w:p>
    <w:p w:rsidR="003D0904" w:rsidRPr="00C0734D" w:rsidRDefault="003D0904" w:rsidP="00C655CD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Dotyczy pkt. M.01 – M.17 Załącznika nr 1 do projektu umowy (OPZ)</w:t>
      </w:r>
    </w:p>
    <w:p w:rsidR="00BC1B46" w:rsidRPr="00C0734D" w:rsidRDefault="00BC1B46" w:rsidP="00FC56DD">
      <w:pPr>
        <w:pStyle w:val="Akapitzlist"/>
        <w:numPr>
          <w:ilvl w:val="0"/>
          <w:numId w:val="5"/>
        </w:numPr>
        <w:spacing w:before="336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Kryterium nr 2: Funkcjonalność systemu</w:t>
      </w:r>
      <w:r w:rsidR="007705DE" w:rsidRPr="00C0734D">
        <w:rPr>
          <w:rFonts w:ascii="Verdana" w:hAnsi="Verdana"/>
          <w:b/>
          <w:sz w:val="22"/>
          <w:szCs w:val="22"/>
        </w:rPr>
        <w:t xml:space="preserve"> (F)</w:t>
      </w:r>
    </w:p>
    <w:p w:rsidR="007705DE" w:rsidRPr="00C0734D" w:rsidRDefault="007705DE" w:rsidP="007705DE">
      <w:pPr>
        <w:spacing w:before="120" w:after="0" w:line="276" w:lineRule="auto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2 „Funkcjonalność systemu””</w:t>
      </w: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3402"/>
        <w:gridCol w:w="992"/>
        <w:gridCol w:w="2552"/>
      </w:tblGrid>
      <w:tr w:rsidR="007705DE" w:rsidRPr="00C0734D" w:rsidTr="007705DE">
        <w:tc>
          <w:tcPr>
            <w:tcW w:w="1418" w:type="dxa"/>
          </w:tcPr>
          <w:p w:rsidR="007705DE" w:rsidRPr="00C0734D" w:rsidRDefault="007705DE" w:rsidP="007705DE">
            <w:pPr>
              <w:spacing w:before="240" w:after="240"/>
              <w:ind w:left="176" w:firstLine="0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SYGN.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spacing w:before="240" w:after="240"/>
              <w:jc w:val="center"/>
              <w:rPr>
                <w:rFonts w:ascii="Verdana" w:hAnsi="Verdana"/>
                <w:b/>
                <w:bCs/>
              </w:rPr>
            </w:pPr>
            <w:r w:rsidRPr="00C0734D">
              <w:rPr>
                <w:rFonts w:ascii="Verdana" w:hAnsi="Verdana"/>
                <w:b/>
                <w:bCs/>
              </w:rPr>
              <w:t>FUNKCJONALNOŚĆ</w:t>
            </w:r>
          </w:p>
        </w:tc>
        <w:tc>
          <w:tcPr>
            <w:tcW w:w="99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WAGA</w:t>
            </w:r>
          </w:p>
        </w:tc>
        <w:tc>
          <w:tcPr>
            <w:tcW w:w="255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TAK/NIE*</w:t>
            </w:r>
          </w:p>
        </w:tc>
      </w:tr>
      <w:tr w:rsidR="007705DE" w:rsidRPr="00C0734D" w:rsidTr="007705DE">
        <w:tc>
          <w:tcPr>
            <w:tcW w:w="1418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WO.09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bCs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Wykonawca przygotuje szkolenia </w:t>
            </w:r>
            <w:proofErr w:type="spellStart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e-learningowe</w:t>
            </w:r>
            <w:proofErr w:type="spellEnd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 w formie </w:t>
            </w:r>
            <w:r w:rsidRPr="00C0734D"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filmów instruktażowych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 z pełnej funkcjonalności Systemu obejmujące swoim zakresem prezentację czynności realizowanych przez wszystkich użytkowników korzystających z Systemu, w tym również administratorów - do których Wykonawca zapewni dostęp najpóźniej w terminie do 3  dni kalendarzowych od dnia podpisania Umowy przez cały okres realizacji Umowy. Szkolenia będą podzielone na </w:t>
            </w:r>
            <w:r w:rsidRPr="00C0734D">
              <w:rPr>
                <w:rStyle w:val="object"/>
                <w:rFonts w:ascii="Verdana" w:hAnsi="Verdana"/>
                <w:color w:val="005A95"/>
                <w:shd w:val="clear" w:color="auto" w:fill="FFFFFF"/>
              </w:rPr>
              <w:t>cz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ęści tematyczne (np. wg roli, modułu, rodzaju użytkownika), a w ramach </w:t>
            </w:r>
            <w:r w:rsidRPr="00C0734D">
              <w:rPr>
                <w:rStyle w:val="object"/>
                <w:rFonts w:ascii="Verdana" w:hAnsi="Verdana"/>
                <w:color w:val="005A95"/>
                <w:shd w:val="clear" w:color="auto" w:fill="FFFFFF"/>
              </w:rPr>
              <w:t>cz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ęści na logiczne, zatytułowane rozdziały, aby możliwe i łatwe było szybkie odszukanie i skorzystanie z potrzebnego materiału szkoleniowego.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4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WT.15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Hasło w systemie powinno być konfigurowalne przez administratora systemu. Konfigurowalność ta rozumiana jest jako możliwość ustalenia i zmiany polityki haseł używanych do autoryzacji/uwierzytelniania użytkownika w systemie. Wymaganiem obligatoryjnym dla polityki haseł jest możliwość zmiany:</w:t>
            </w:r>
          </w:p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dni, po którym użytkownik musi zmienić hasło na inne,</w:t>
            </w:r>
          </w:p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 lub więcej, po którym ponownie można użyć hasła wcześniej używanego,</w:t>
            </w:r>
          </w:p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parametrów budowy i złożoności hasła w zakresie określenia minimalnej ilości znaków i wymogów dot.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użytych znaków tj. małych liter, wielkich liter, cyfr,  znaków specjalnych (!@#$%^&amp;*()][}{\|,:;&lt;&gt;/?+_=</w:t>
            </w:r>
            <w:hyperlink r:id="rId7" w:history="1">
              <w:r w:rsidRPr="00C0734D">
                <w:rPr>
                  <w:color w:val="000000"/>
                  <w:shd w:val="clear" w:color="auto" w:fill="FFFFFF"/>
                </w:rPr>
                <w:t>1234567890</w:t>
              </w:r>
            </w:hyperlink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).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lastRenderedPageBreak/>
              <w:t>2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bookmarkStart w:id="0" w:name="_GoBack"/>
            <w:bookmarkEnd w:id="0"/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lastRenderedPageBreak/>
              <w:t>WT.23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Wykonawca powinien dostarczyć narzędzie do samodzielnej migracji danych do/z Systemu</w:t>
            </w:r>
          </w:p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20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WT.24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umożliwiać wymianę danych z innymi systemami, w szczególności udostępniać API wraz z dokumentacją dla programistów.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4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C0734D">
              <w:rPr>
                <w:rFonts w:ascii="Verdana" w:eastAsia="Arial" w:hAnsi="Verdana" w:cs="Arial"/>
                <w:color w:val="000000"/>
              </w:rPr>
              <w:t>WA.10</w:t>
            </w:r>
          </w:p>
        </w:tc>
        <w:tc>
          <w:tcPr>
            <w:tcW w:w="3402" w:type="dxa"/>
            <w:vAlign w:val="center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Wskazane, aby System zapewniał administratorowi Systemu nadawanie użytkownikowi różnych ról dla różnych jednostek organizacyjnych obsługiwanych przez System.</w:t>
            </w:r>
          </w:p>
        </w:tc>
        <w:tc>
          <w:tcPr>
            <w:tcW w:w="992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4</w:t>
            </w:r>
          </w:p>
        </w:tc>
        <w:tc>
          <w:tcPr>
            <w:tcW w:w="2552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C0734D">
              <w:rPr>
                <w:rFonts w:ascii="Verdana" w:eastAsia="Arial" w:hAnsi="Verdana" w:cs="Arial"/>
                <w:color w:val="000000"/>
              </w:rPr>
              <w:t>WA.19</w:t>
            </w:r>
          </w:p>
        </w:tc>
        <w:tc>
          <w:tcPr>
            <w:tcW w:w="3402" w:type="dxa"/>
            <w:vAlign w:val="center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pozwalać na szybkie kopiowanie uprawnień z jednego  na drugiego użytkownika.</w:t>
            </w:r>
          </w:p>
        </w:tc>
        <w:tc>
          <w:tcPr>
            <w:tcW w:w="992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4</w:t>
            </w:r>
          </w:p>
        </w:tc>
        <w:tc>
          <w:tcPr>
            <w:tcW w:w="2552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SK.07</w:t>
            </w:r>
          </w:p>
        </w:tc>
        <w:tc>
          <w:tcPr>
            <w:tcW w:w="3402" w:type="dxa"/>
            <w:vAlign w:val="center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Możliwość wpisania do jakiego przedmiotu nauczyciel posiada uprawnienia (pomocne przy zestawieniach i przydzieleniu nauczycielowi dodatkowych godzin zgodnie z posiadanymi kwalifikacjami).</w:t>
            </w:r>
          </w:p>
        </w:tc>
        <w:tc>
          <w:tcPr>
            <w:tcW w:w="992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SK.14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Możliwość wpisania daty sprawdzenia pracownika w RSPTS oraz CROD przed wpisaniem umowy o pracę.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SK.15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Możliwość wpisania przyznanego nauczycielowi dodatku na start.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SK.18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 danych służbowych dane dotyczące doskonalenia pracowników, w tym tematyka, rodzaj wg SIO, data ukończenia, nazwa szkoły/uczelni, liczba godzin. Uprawnienia pracownika z datą uzyskania.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SK.26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Program powinien uwzględniać konkretny przydział godzin i zajęć nauczyciela tak,  aby można wykorzystać te dane do statystyk i ankiet. 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SK.48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W sekcji absencje możliwość wyboru dat i podglądu kalendarza, w którym absencje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 xml:space="preserve">będą  oznaczone różnymi kolorami w zależności od rodzaju absencji  wraz z opisem pod kalendarzem  statystyki i nieobecności w formie dat z dniami kalendarzowymi i roboczymi. </w:t>
            </w:r>
          </w:p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lastRenderedPageBreak/>
              <w:t>1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Calibri"/>
                <w:bCs/>
              </w:rPr>
              <w:lastRenderedPageBreak/>
              <w:t>SK.52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Na wydruku dot. nagrody jubileuszowej powinien być ujęty wykaz okresów uwzględnionych do nagrody wraz z urlopami bezpłatnymi, które wpływają na staż do nagrody. 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1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SK.59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Prowadzenie akt pracowniczych w wersji cyfrowej.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7705DE" w:rsidRPr="00C0734D" w:rsidTr="007705DE">
        <w:tc>
          <w:tcPr>
            <w:tcW w:w="1418" w:type="dxa"/>
            <w:vAlign w:val="center"/>
          </w:tcPr>
          <w:p w:rsidR="007705DE" w:rsidRPr="00C0734D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color w:val="000000"/>
              </w:rPr>
              <w:t>SP.10</w:t>
            </w:r>
          </w:p>
          <w:p w:rsidR="007705DE" w:rsidRPr="00C0734D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umożliwiać automatyczną numerację list płac (z możliwością dopisania ręcznego opisu - minimum 20 znaków)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color w:val="000000"/>
              </w:rPr>
              <w:t>4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</w:tbl>
    <w:p w:rsidR="007705DE" w:rsidRPr="00C0734D" w:rsidRDefault="007705DE" w:rsidP="007705DE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990AEC" w:rsidRPr="00C0734D" w:rsidRDefault="00990AEC" w:rsidP="00801FE3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Kryterium nr 3 Dostępność cyfrowa (D) </w:t>
      </w:r>
    </w:p>
    <w:p w:rsidR="00990AEC" w:rsidRPr="00C0734D" w:rsidRDefault="00990AEC" w:rsidP="00990AEC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3 „Dostępność cyfrowa”</w:t>
      </w:r>
    </w:p>
    <w:tbl>
      <w:tblPr>
        <w:tblStyle w:val="Tabela-Siatka"/>
        <w:tblW w:w="9639" w:type="dxa"/>
        <w:tblInd w:w="-34" w:type="dxa"/>
        <w:tblLayout w:type="fixed"/>
        <w:tblLook w:val="04A0"/>
      </w:tblPr>
      <w:tblGrid>
        <w:gridCol w:w="709"/>
        <w:gridCol w:w="4962"/>
        <w:gridCol w:w="1559"/>
        <w:gridCol w:w="850"/>
        <w:gridCol w:w="1559"/>
      </w:tblGrid>
      <w:tr w:rsidR="00990AEC" w:rsidRPr="00C0734D" w:rsidTr="007871F6">
        <w:tc>
          <w:tcPr>
            <w:tcW w:w="709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Warunek</w:t>
            </w:r>
          </w:p>
        </w:tc>
        <w:tc>
          <w:tcPr>
            <w:tcW w:w="1559" w:type="dxa"/>
            <w:vAlign w:val="center"/>
          </w:tcPr>
          <w:p w:rsidR="00990AEC" w:rsidRPr="00C0734D" w:rsidRDefault="00EB5F44" w:rsidP="00EB5F44">
            <w:pPr>
              <w:ind w:left="33" w:firstLine="0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 xml:space="preserve">Wynika z </w:t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kryterium</w:t>
            </w:r>
            <w:r w:rsidRPr="00C0734D">
              <w:rPr>
                <w:rFonts w:ascii="Verdana" w:hAnsi="Verdana"/>
                <w:b/>
                <w:sz w:val="18"/>
                <w:szCs w:val="18"/>
              </w:rPr>
              <w:br/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990AEC" w:rsidRPr="00C0734D" w:rsidRDefault="00990AEC" w:rsidP="00EB5F44">
            <w:pPr>
              <w:ind w:left="0" w:firstLine="5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Waga</w:t>
            </w:r>
          </w:p>
        </w:tc>
        <w:tc>
          <w:tcPr>
            <w:tcW w:w="1559" w:type="dxa"/>
            <w:vAlign w:val="center"/>
          </w:tcPr>
          <w:p w:rsidR="00990AEC" w:rsidRPr="00C0734D" w:rsidRDefault="00990AEC" w:rsidP="00EB5F4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TAK/NIE*</w:t>
            </w: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  <w:b/>
              </w:rPr>
            </w:pP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990AEC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odtwarzaczy multimediów lub odtwarzaczy multimediów.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stronie nie występuje mechanizm otwierający nowe okno bez udziału </w:t>
            </w:r>
            <w:r w:rsidRPr="00C0734D">
              <w:rPr>
                <w:rFonts w:ascii="Verdana" w:hAnsi="Verdana"/>
              </w:rPr>
              <w:lastRenderedPageBreak/>
              <w:t xml:space="preserve">użytkownika? 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7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jest dostępna mapa strony lub wyszukiwarka.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cały badany serwis składa się tylko z jednej strony.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2.4.5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2.4.5</w:t>
            </w:r>
          </w:p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1" w:name="_Toc484066134"/>
            <w:bookmarkStart w:id="2" w:name="_Toc18404232"/>
            <w:r w:rsidRPr="00C0734D">
              <w:rPr>
                <w:rFonts w:ascii="Verdana" w:hAnsi="Verdana"/>
              </w:rPr>
              <w:t>Na stronach nie występują informacje przekazywana jedynie za pomocą koloru</w:t>
            </w:r>
            <w:bookmarkEnd w:id="1"/>
            <w:r w:rsidRPr="00C0734D">
              <w:rPr>
                <w:rFonts w:ascii="Verdana" w:hAnsi="Verdana"/>
              </w:rPr>
              <w:t>, np. wykresy, podświetlanie w formularzu błędnych/brakujących  pól  jedynie kolorem?</w:t>
            </w:r>
            <w:bookmarkEnd w:id="2"/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3" w:name="_Toc484066133"/>
            <w:r w:rsidRPr="00C0734D">
              <w:rPr>
                <w:rFonts w:ascii="Verdana" w:hAnsi="Verdana"/>
              </w:rPr>
              <w:t>Na stronach nie występują  instrukcje odnoszące się do koloru</w:t>
            </w:r>
            <w:bookmarkEnd w:id="3"/>
            <w:r w:rsidRPr="00C0734D">
              <w:rPr>
                <w:rFonts w:ascii="Verdana" w:hAnsi="Verdana"/>
              </w:rPr>
              <w:t xml:space="preserve"> elementu, np. „Kliknij w niebieski przycisk”.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4" w:name="_Toc18404244"/>
            <w:bookmarkStart w:id="5" w:name="_Toc484066211"/>
            <w:r w:rsidRPr="00C0734D">
              <w:rPr>
                <w:rFonts w:ascii="Verdana" w:hAnsi="Verdana"/>
              </w:rPr>
              <w:t>Na stronach są tytuły stron i mają poprawną strukturę</w:t>
            </w:r>
            <w:bookmarkEnd w:id="4"/>
            <w:bookmarkEnd w:id="5"/>
            <w:r w:rsidRPr="00C0734D">
              <w:rPr>
                <w:rFonts w:ascii="Verdana" w:hAnsi="Verdana"/>
              </w:rPr>
              <w:t xml:space="preserve">, tj. każda strona ma unikalny, właściwie przygotowany („od ogółu do szczegółu”), tytuł informujący o jej </w:t>
            </w:r>
            <w:r w:rsidRPr="00C0734D">
              <w:rPr>
                <w:rFonts w:ascii="Verdana" w:hAnsi="Verdana"/>
              </w:rPr>
              <w:lastRenderedPageBreak/>
              <w:t>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19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 złożony element graficzny (np. infografika, wykres, mapa) ma poszerzony opis który umożliwi dokładne zrozumienie ich 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i animacje mają </w:t>
            </w:r>
            <w:proofErr w:type="spellStart"/>
            <w:r w:rsidRPr="00C0734D">
              <w:rPr>
                <w:rFonts w:ascii="Verdana" w:hAnsi="Verdana"/>
              </w:rPr>
              <w:t>audiodeskrypcję</w:t>
            </w:r>
            <w:proofErr w:type="spellEnd"/>
            <w:r w:rsidRPr="00C0734D">
              <w:rPr>
                <w:rFonts w:ascii="Verdana" w:hAnsi="Verdana"/>
              </w:rPr>
              <w:t xml:space="preserve">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na badanych stronach nie ma elementów wymagających </w:t>
            </w:r>
            <w:proofErr w:type="spellStart"/>
            <w:r w:rsidRPr="00C0734D">
              <w:rPr>
                <w:rFonts w:ascii="Verdana" w:hAnsi="Verdana"/>
              </w:rPr>
              <w:t>audiodeskrypcji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1.2.5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Nagłówki są zdefiniowane w kodzie strony, w odpowiedniej kolejności.</w:t>
            </w:r>
          </w:p>
        </w:tc>
        <w:tc>
          <w:tcPr>
            <w:tcW w:w="1559" w:type="dxa"/>
          </w:tcPr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Listy elementów są zdefiniowane w kodzie strony.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list elementów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tytuł i opis.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C0734D">
              <w:rPr>
                <w:rFonts w:ascii="Verdana" w:hAnsi="Verdana"/>
              </w:rPr>
              <w:t>layoutowa</w:t>
            </w:r>
            <w:proofErr w:type="spellEnd"/>
            <w:r w:rsidRPr="00C0734D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C0734D">
              <w:rPr>
                <w:rFonts w:ascii="Verdana" w:hAnsi="Verdana"/>
              </w:rPr>
              <w:t>role=”presentation</w:t>
            </w:r>
            <w:proofErr w:type="spellEnd"/>
            <w:r w:rsidRPr="00C0734D">
              <w:rPr>
                <w:rFonts w:ascii="Verdana" w:hAnsi="Verdana"/>
              </w:rPr>
              <w:t>”.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tabeli.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6" w:name="_Toc18404265"/>
            <w:bookmarkStart w:id="7" w:name="_Toc484066224"/>
            <w:r w:rsidRPr="00C0734D">
              <w:rPr>
                <w:rFonts w:ascii="Verdana" w:hAnsi="Verdana"/>
              </w:rPr>
              <w:t>W tabeli będącej szkieletem strony są znaczniki tabeli prezentującej dane</w:t>
            </w:r>
            <w:bookmarkEnd w:id="6"/>
            <w:bookmarkEnd w:id="7"/>
            <w:r w:rsidRPr="00C0734D">
              <w:rPr>
                <w:rFonts w:ascii="Verdana" w:hAnsi="Verdana"/>
              </w:rPr>
              <w:t>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559" w:type="dxa"/>
          </w:tcPr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40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Ramki na stronach mają tytuły.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występują powtarzające się treści/wartości powodujące efekt jąkania się czytnika ekranu.</w:t>
            </w:r>
          </w:p>
        </w:tc>
        <w:tc>
          <w:tcPr>
            <w:tcW w:w="1559" w:type="dxa"/>
          </w:tcPr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FC5E01" w:rsidRPr="00C0734D">
                <w:rPr>
                  <w:rFonts w:ascii="Verdana" w:hAnsi="Verdana"/>
                </w:rPr>
                <w:t>2.4.4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LINKI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menu są zgrupowane w kodzie w listę.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pustych  linków.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GRAFICZNE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przekazujący informacje ma poprawnie sformułowany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dekoracyjny 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ma pusty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Zabezpieczenie CAPTCHA jest dostępne cyfrowo.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Wszystkie pola formularzy są poprawnie, jednoznacznie zidentyfikowane tj. ma </w:t>
            </w:r>
            <w:r w:rsidRPr="00C0734D">
              <w:rPr>
                <w:rFonts w:ascii="Verdana" w:hAnsi="Verdana"/>
              </w:rPr>
              <w:lastRenderedPageBreak/>
              <w:t>unikalne Id i opis swojego przeznaczenia.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formularzy.</w:t>
            </w:r>
          </w:p>
        </w:tc>
        <w:tc>
          <w:tcPr>
            <w:tcW w:w="1559" w:type="dxa"/>
          </w:tcPr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FC5E01" w:rsidRPr="00C0734D">
                <w:rPr>
                  <w:rFonts w:ascii="Verdana" w:hAnsi="Verdana"/>
                </w:rPr>
                <w:t>1.1.1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FC5E01" w:rsidRPr="00C0734D">
                <w:rPr>
                  <w:rFonts w:ascii="Verdana" w:hAnsi="Verdana"/>
                </w:rPr>
                <w:t>3.3.2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51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o podobnej funkcji/ niosących informacje o podobnym charakterze.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dodany jest także opis grupy w  znaczniku &lt;legend&gt;.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C0734D">
              <w:rPr>
                <w:rFonts w:ascii="Verdana" w:hAnsi="Verdana"/>
              </w:rPr>
              <w:t>label</w:t>
            </w:r>
            <w:proofErr w:type="spellEnd"/>
            <w:r w:rsidRPr="00C0734D">
              <w:rPr>
                <w:rFonts w:ascii="Verdana" w:hAnsi="Verdana"/>
              </w:rPr>
              <w:t>&gt; wyjaśniający jej zawartość.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Funkcja </w:t>
            </w:r>
            <w:proofErr w:type="spellStart"/>
            <w:r w:rsidRPr="00C0734D">
              <w:rPr>
                <w:rFonts w:ascii="Verdana" w:hAnsi="Verdana"/>
              </w:rPr>
              <w:t>autouzupełniania</w:t>
            </w:r>
            <w:proofErr w:type="spellEnd"/>
            <w:r w:rsidRPr="00C0734D">
              <w:rPr>
                <w:rFonts w:ascii="Verdana" w:hAnsi="Verdana"/>
              </w:rPr>
              <w:t xml:space="preserve"> pola formularza działa poprawnie.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na badanych stronach nie ma formularzy lub pól z funkcją </w:t>
            </w:r>
            <w:proofErr w:type="spellStart"/>
            <w:r w:rsidRPr="00C0734D">
              <w:rPr>
                <w:rFonts w:ascii="Verdana" w:hAnsi="Verdana"/>
              </w:rPr>
              <w:t>autouzupełniania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57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nie występują symbole typu ASCII-Art bez alternatywy tekstowej.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Treści obcojęzyczne mają poprawnie zdefiniowany język.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na badanych stronach nie </w:t>
            </w:r>
            <w:r w:rsidRPr="00C0734D">
              <w:rPr>
                <w:rFonts w:ascii="Verdana" w:hAnsi="Verdana"/>
              </w:rPr>
              <w:lastRenderedPageBreak/>
              <w:t>ma treści w innym języku niż wskazuje główna deklaracja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3.1.2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60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Nie dotyczy gdy wielkość czcionek w formularzach nie jest definiowana w stylach CSS.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problem dotyczy elementów z natury wymagających dużego obszaru prezentacji i przewijania np. tabel danych, złożonych obrazów (map, wykresów).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 nie występują znaczniki &lt;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>&gt;, &lt;</w:t>
            </w:r>
            <w:proofErr w:type="spellStart"/>
            <w:r w:rsidRPr="00C0734D">
              <w:rPr>
                <w:rFonts w:ascii="Verdana" w:hAnsi="Verdana"/>
              </w:rPr>
              <w:t>bgsound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marqee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Selektor CSS </w:t>
            </w:r>
            <w:proofErr w:type="spellStart"/>
            <w:r w:rsidRPr="00C0734D">
              <w:rPr>
                <w:rFonts w:ascii="Verdana" w:hAnsi="Verdana"/>
              </w:rPr>
              <w:t>outline</w:t>
            </w:r>
            <w:proofErr w:type="spellEnd"/>
            <w:r w:rsidRPr="00C0734D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są spójnie wyróżniane wizualnie.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w kodzie badanych stronach nie ma list definicji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70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559" w:type="dxa"/>
          </w:tcPr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323D49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cytatów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stronach nie ma  </w:t>
            </w:r>
            <w:proofErr w:type="spellStart"/>
            <w:r w:rsidRPr="00C0734D">
              <w:rPr>
                <w:rFonts w:ascii="Verdana" w:hAnsi="Verdana"/>
              </w:rPr>
              <w:t>przekierowań</w:t>
            </w:r>
            <w:proofErr w:type="spellEnd"/>
            <w:r w:rsidRPr="00C0734D">
              <w:rPr>
                <w:rFonts w:ascii="Verdana" w:hAnsi="Verdana"/>
              </w:rPr>
              <w:t xml:space="preserve">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78</w:t>
            </w:r>
          </w:p>
        </w:tc>
        <w:tc>
          <w:tcPr>
            <w:tcW w:w="4962" w:type="dxa"/>
          </w:tcPr>
          <w:p w:rsidR="00F861E3" w:rsidRPr="00C0734D" w:rsidRDefault="00F861E3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F861E3" w:rsidRPr="00C0734D" w:rsidRDefault="00F861E3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Użytkownik może zarządzać jednoliterowymi skrótami klawiszowymi.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80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działań uruchamianych gestem punktowym lub naciśnięcie klawisza myszki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Walidacja stron wykonana walida torem W3C </w:t>
            </w:r>
            <w:hyperlink r:id="rId8" w:history="1">
              <w:r w:rsidRPr="00C0734D">
                <w:rPr>
                  <w:rFonts w:ascii="Verdana" w:hAnsi="Verdana"/>
                </w:rPr>
                <w:t>walidatorem W3C</w:t>
              </w:r>
            </w:hyperlink>
            <w:r w:rsidRPr="00C0734D">
              <w:rPr>
                <w:rFonts w:ascii="Verdana" w:hAnsi="Verdana"/>
              </w:rPr>
              <w:t xml:space="preserve"> - </w:t>
            </w:r>
            <w:hyperlink r:id="rId9" w:history="1">
              <w:r w:rsidRPr="00C0734D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C0734D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 xml:space="preserve">, center, font, </w:t>
            </w:r>
            <w:proofErr w:type="spellStart"/>
            <w:r w:rsidRPr="00C0734D">
              <w:rPr>
                <w:rFonts w:ascii="Verdana" w:hAnsi="Verdana"/>
              </w:rPr>
              <w:t>marquee</w:t>
            </w:r>
            <w:proofErr w:type="spellEnd"/>
            <w:r w:rsidRPr="00C0734D">
              <w:rPr>
                <w:rFonts w:ascii="Verdana" w:hAnsi="Verdana"/>
              </w:rPr>
              <w:t xml:space="preserve">, s, </w:t>
            </w:r>
            <w:proofErr w:type="spellStart"/>
            <w:r w:rsidRPr="00C0734D">
              <w:rPr>
                <w:rFonts w:ascii="Verdana" w:hAnsi="Verdana"/>
              </w:rPr>
              <w:t>strike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tt</w:t>
            </w:r>
            <w:proofErr w:type="spellEnd"/>
            <w:r w:rsidRPr="00C0734D">
              <w:rPr>
                <w:rFonts w:ascii="Verdana" w:hAnsi="Verdana"/>
              </w:rPr>
              <w:t xml:space="preserve">, u, </w:t>
            </w:r>
            <w:proofErr w:type="spellStart"/>
            <w:r w:rsidRPr="00C0734D">
              <w:rPr>
                <w:rFonts w:ascii="Verdana" w:hAnsi="Verdana"/>
              </w:rPr>
              <w:t>align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alink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background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bgcolor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border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color</w:t>
            </w:r>
            <w:proofErr w:type="spellEnd"/>
            <w:r w:rsidRPr="00C0734D">
              <w:rPr>
                <w:rFonts w:ascii="Verdana" w:hAnsi="Verdana"/>
              </w:rPr>
              <w:t xml:space="preserve">, link, </w:t>
            </w:r>
            <w:proofErr w:type="spellStart"/>
            <w:r w:rsidRPr="00C0734D">
              <w:rPr>
                <w:rFonts w:ascii="Verdana" w:hAnsi="Verdana"/>
              </w:rPr>
              <w:t>text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C0734D">
              <w:rPr>
                <w:rFonts w:ascii="Verdana" w:hAnsi="Verdana"/>
              </w:rPr>
              <w:t>np</w:t>
            </w:r>
            <w:proofErr w:type="spellEnd"/>
            <w:r w:rsidRPr="00C0734D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88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Nie dotyczy gdy na badanych stronach nie ma etykiet.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2.5.3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90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informacji o statusie lub błędach.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atrybutów lub skryptów do zarządzania obsługą i nawigacją.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Ramka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 xml:space="preserve"> nie jest usuwana za pomocą skryptu.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</w:tbl>
    <w:p w:rsidR="00990AEC" w:rsidRPr="00C0734D" w:rsidRDefault="00990AEC" w:rsidP="00BC1B46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015C88" w:rsidRPr="00C0734D" w:rsidRDefault="00015C88" w:rsidP="00015C88">
      <w:pPr>
        <w:pStyle w:val="Nagwek4"/>
        <w:rPr>
          <w:rFonts w:ascii="Verdana" w:hAnsi="Verdana"/>
          <w:i w:val="0"/>
          <w:color w:val="auto"/>
        </w:rPr>
      </w:pPr>
      <w:r w:rsidRPr="00C0734D">
        <w:rPr>
          <w:rFonts w:ascii="Verdana" w:hAnsi="Verdana"/>
          <w:i w:val="0"/>
          <w:color w:val="auto"/>
        </w:rPr>
        <w:t>Elementy wyłączone z badania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multimedia nadawane na żywo,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multimedia opublikowane przed 23 września 2020r.,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 xml:space="preserve">dokumenty tekstowe i tekstowo-graficzne, prezentacje multimedialne i arkusze kalkulacyjne opublikowane przed 23 września 2018 r. - chyba że są niezbędne </w:t>
      </w:r>
      <w:r w:rsidRPr="00C0734D">
        <w:rPr>
          <w:rFonts w:ascii="Verdana" w:hAnsi="Verdana"/>
        </w:rPr>
        <w:lastRenderedPageBreak/>
        <w:t>do realizowania bieżących zadań instytucji Zamawiającego czy korzystania z jego usług,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mapy – pod warunkiem zapewnienia alternatywnego dostępu do prezentowanych na nich danych,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część dzieł sztuki, muzealiów, zbiorów archiwów narodowych i bibliotecznych,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materiały z intranetu i ekstranetu opublikowane przed 23 wrześnie 2019 r. i od tego czasu nieaktualizowane,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treści od innych podmiotów, które nie zostały przez Wykonawcę lub dla Wykonawcy wykonane lub nabyte, albo do których modyfikacji Wykonawca nie jest uprawniony.</w:t>
      </w:r>
    </w:p>
    <w:p w:rsidR="00E810D7" w:rsidRPr="00C0734D" w:rsidRDefault="00E810D7" w:rsidP="003D0904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</w:t>
      </w:r>
      <w:r w:rsidR="007E7074" w:rsidRPr="00C0734D">
        <w:rPr>
          <w:rFonts w:ascii="Verdana" w:hAnsi="Verdana"/>
          <w:b/>
          <w:sz w:val="22"/>
          <w:szCs w:val="22"/>
        </w:rPr>
        <w:t xml:space="preserve"> Aktywacja osób niepełnosprawnych (A)</w:t>
      </w:r>
    </w:p>
    <w:p w:rsidR="001A096D" w:rsidRPr="00C0734D" w:rsidRDefault="001A096D" w:rsidP="00BC1B46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C0734D">
        <w:rPr>
          <w:rFonts w:ascii="Verdana" w:hAnsi="Verdana"/>
          <w:b/>
          <w:sz w:val="22"/>
          <w:szCs w:val="22"/>
          <w:vertAlign w:val="subscript"/>
        </w:rPr>
        <w:t>a</w:t>
      </w:r>
      <w:r w:rsidRPr="00C0734D">
        <w:rPr>
          <w:rFonts w:ascii="Verdana" w:hAnsi="Verdana"/>
          <w:b/>
          <w:sz w:val="22"/>
          <w:szCs w:val="22"/>
        </w:rPr>
        <w:t>) – TAK/NIE</w:t>
      </w:r>
      <w:r w:rsidRPr="00C0734D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C0734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* niewłaściwe </w:t>
      </w:r>
      <w:r w:rsidR="007E7074" w:rsidRPr="00C0734D">
        <w:rPr>
          <w:rFonts w:ascii="Verdana" w:hAnsi="Verdana"/>
          <w:sz w:val="22"/>
          <w:szCs w:val="22"/>
        </w:rPr>
        <w:t xml:space="preserve">skreślić </w:t>
      </w:r>
      <w:r w:rsidR="00DF44A8" w:rsidRPr="00C0734D">
        <w:rPr>
          <w:rFonts w:ascii="Verdana" w:hAnsi="Verdana"/>
          <w:sz w:val="22"/>
          <w:szCs w:val="22"/>
        </w:rPr>
        <w:t>albo</w:t>
      </w:r>
      <w:r w:rsidR="007E7074" w:rsidRPr="00C0734D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 xml:space="preserve">usunąć. </w:t>
      </w:r>
    </w:p>
    <w:p w:rsidR="00B05F40" w:rsidRPr="00C0734D" w:rsidRDefault="007D2006" w:rsidP="003D0904">
      <w:pPr>
        <w:pStyle w:val="Akapitzlist"/>
        <w:numPr>
          <w:ilvl w:val="0"/>
          <w:numId w:val="7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C0734D" w:rsidRDefault="00B05F40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</w:t>
      </w:r>
      <w:r w:rsidRPr="00C0734D">
        <w:rPr>
          <w:rFonts w:ascii="Verdana" w:hAnsi="Verdana"/>
          <w:sz w:val="22"/>
          <w:szCs w:val="22"/>
        </w:rPr>
        <w:lastRenderedPageBreak/>
        <w:t>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10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FE3" w:rsidRDefault="00801FE3" w:rsidP="002F3D65">
      <w:pPr>
        <w:spacing w:after="0"/>
      </w:pPr>
      <w:r>
        <w:separator/>
      </w:r>
    </w:p>
  </w:endnote>
  <w:endnote w:type="continuationSeparator" w:id="0">
    <w:p w:rsidR="00801FE3" w:rsidRDefault="00801FE3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FE3" w:rsidRDefault="00801FE3" w:rsidP="002F3D65">
      <w:pPr>
        <w:spacing w:after="0"/>
      </w:pPr>
      <w:r>
        <w:separator/>
      </w:r>
    </w:p>
  </w:footnote>
  <w:footnote w:type="continuationSeparator" w:id="0">
    <w:p w:rsidR="00801FE3" w:rsidRDefault="00801FE3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FE3" w:rsidRPr="00575A1E" w:rsidRDefault="00801FE3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1.2023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8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10"/>
  </w:num>
  <w:num w:numId="6">
    <w:abstractNumId w:val="1"/>
  </w:num>
  <w:num w:numId="7">
    <w:abstractNumId w:val="8"/>
  </w:num>
  <w:num w:numId="8">
    <w:abstractNumId w:val="11"/>
  </w:num>
  <w:num w:numId="9">
    <w:abstractNumId w:val="9"/>
  </w:num>
  <w:num w:numId="10">
    <w:abstractNumId w:val="2"/>
  </w:num>
  <w:num w:numId="11">
    <w:abstractNumId w:val="0"/>
  </w:num>
  <w:num w:numId="12">
    <w:abstractNumId w:val="7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A1CAE"/>
    <w:rsid w:val="000A2DA6"/>
    <w:rsid w:val="000D366B"/>
    <w:rsid w:val="000D6D49"/>
    <w:rsid w:val="001007CE"/>
    <w:rsid w:val="00100B58"/>
    <w:rsid w:val="0013036D"/>
    <w:rsid w:val="00133AF5"/>
    <w:rsid w:val="0015252C"/>
    <w:rsid w:val="00191278"/>
    <w:rsid w:val="001A096D"/>
    <w:rsid w:val="001A0EA2"/>
    <w:rsid w:val="001A6F11"/>
    <w:rsid w:val="001B036A"/>
    <w:rsid w:val="001B6475"/>
    <w:rsid w:val="001C4777"/>
    <w:rsid w:val="001D6157"/>
    <w:rsid w:val="001E0487"/>
    <w:rsid w:val="002309E2"/>
    <w:rsid w:val="002344EE"/>
    <w:rsid w:val="00252D30"/>
    <w:rsid w:val="002620C5"/>
    <w:rsid w:val="00267103"/>
    <w:rsid w:val="0028667D"/>
    <w:rsid w:val="002A7FC0"/>
    <w:rsid w:val="002C058D"/>
    <w:rsid w:val="002F3D65"/>
    <w:rsid w:val="00300E09"/>
    <w:rsid w:val="00323D49"/>
    <w:rsid w:val="00337D55"/>
    <w:rsid w:val="00356242"/>
    <w:rsid w:val="003644BA"/>
    <w:rsid w:val="00370D20"/>
    <w:rsid w:val="00380886"/>
    <w:rsid w:val="00380BFD"/>
    <w:rsid w:val="00390727"/>
    <w:rsid w:val="00390B04"/>
    <w:rsid w:val="003944DE"/>
    <w:rsid w:val="00396F41"/>
    <w:rsid w:val="003A5021"/>
    <w:rsid w:val="003D0904"/>
    <w:rsid w:val="003D6601"/>
    <w:rsid w:val="003E5DA4"/>
    <w:rsid w:val="003E7BD8"/>
    <w:rsid w:val="003F67B6"/>
    <w:rsid w:val="00402983"/>
    <w:rsid w:val="00406A38"/>
    <w:rsid w:val="0042678C"/>
    <w:rsid w:val="00435F86"/>
    <w:rsid w:val="004440E9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A4AB7"/>
    <w:rsid w:val="005A6C21"/>
    <w:rsid w:val="005B11A5"/>
    <w:rsid w:val="005B305A"/>
    <w:rsid w:val="005B3A85"/>
    <w:rsid w:val="0060308A"/>
    <w:rsid w:val="006058CF"/>
    <w:rsid w:val="0060593A"/>
    <w:rsid w:val="006169D1"/>
    <w:rsid w:val="006251D1"/>
    <w:rsid w:val="00643505"/>
    <w:rsid w:val="00653527"/>
    <w:rsid w:val="00661976"/>
    <w:rsid w:val="00662396"/>
    <w:rsid w:val="0069191A"/>
    <w:rsid w:val="006A1EF3"/>
    <w:rsid w:val="006A38F3"/>
    <w:rsid w:val="006B129F"/>
    <w:rsid w:val="006C187A"/>
    <w:rsid w:val="006E7FF5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5D76"/>
    <w:rsid w:val="007871F6"/>
    <w:rsid w:val="00797165"/>
    <w:rsid w:val="007A141D"/>
    <w:rsid w:val="007A152D"/>
    <w:rsid w:val="007A530F"/>
    <w:rsid w:val="007D2006"/>
    <w:rsid w:val="007D6DB9"/>
    <w:rsid w:val="007E7074"/>
    <w:rsid w:val="00801FE3"/>
    <w:rsid w:val="00802141"/>
    <w:rsid w:val="00813BD9"/>
    <w:rsid w:val="008152E7"/>
    <w:rsid w:val="0081797B"/>
    <w:rsid w:val="00820D79"/>
    <w:rsid w:val="0084216C"/>
    <w:rsid w:val="00846DB3"/>
    <w:rsid w:val="00860D74"/>
    <w:rsid w:val="008974A9"/>
    <w:rsid w:val="008B5B46"/>
    <w:rsid w:val="008B7AC5"/>
    <w:rsid w:val="008E0B49"/>
    <w:rsid w:val="008E200A"/>
    <w:rsid w:val="008E2851"/>
    <w:rsid w:val="008E43AD"/>
    <w:rsid w:val="008F4CD6"/>
    <w:rsid w:val="00913388"/>
    <w:rsid w:val="00937274"/>
    <w:rsid w:val="00950667"/>
    <w:rsid w:val="0096065A"/>
    <w:rsid w:val="00975393"/>
    <w:rsid w:val="00990AEC"/>
    <w:rsid w:val="009948C8"/>
    <w:rsid w:val="009A74C7"/>
    <w:rsid w:val="009B27FD"/>
    <w:rsid w:val="009B3FBB"/>
    <w:rsid w:val="009B4521"/>
    <w:rsid w:val="009D40CC"/>
    <w:rsid w:val="009E3062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B047E2"/>
    <w:rsid w:val="00B05F40"/>
    <w:rsid w:val="00B25BD3"/>
    <w:rsid w:val="00B30CE0"/>
    <w:rsid w:val="00B64D82"/>
    <w:rsid w:val="00B83248"/>
    <w:rsid w:val="00B92188"/>
    <w:rsid w:val="00BC1B46"/>
    <w:rsid w:val="00BE2CD7"/>
    <w:rsid w:val="00BE64F8"/>
    <w:rsid w:val="00C0734D"/>
    <w:rsid w:val="00C07F4B"/>
    <w:rsid w:val="00C1381E"/>
    <w:rsid w:val="00C14310"/>
    <w:rsid w:val="00C447C1"/>
    <w:rsid w:val="00C63966"/>
    <w:rsid w:val="00C655CD"/>
    <w:rsid w:val="00C85D54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5B6F"/>
    <w:rsid w:val="00D72A1B"/>
    <w:rsid w:val="00D8568A"/>
    <w:rsid w:val="00D86EAE"/>
    <w:rsid w:val="00D92CDE"/>
    <w:rsid w:val="00D93552"/>
    <w:rsid w:val="00D938B9"/>
    <w:rsid w:val="00DA59A2"/>
    <w:rsid w:val="00DB41FD"/>
    <w:rsid w:val="00DC4242"/>
    <w:rsid w:val="00DC6C4B"/>
    <w:rsid w:val="00DE2635"/>
    <w:rsid w:val="00DF312F"/>
    <w:rsid w:val="00DF44A8"/>
    <w:rsid w:val="00E000CA"/>
    <w:rsid w:val="00E05470"/>
    <w:rsid w:val="00E30414"/>
    <w:rsid w:val="00E4055B"/>
    <w:rsid w:val="00E4089B"/>
    <w:rsid w:val="00E73102"/>
    <w:rsid w:val="00E7531B"/>
    <w:rsid w:val="00E810D7"/>
    <w:rsid w:val="00EA5D7D"/>
    <w:rsid w:val="00EB0878"/>
    <w:rsid w:val="00EB5F44"/>
    <w:rsid w:val="00EC2207"/>
    <w:rsid w:val="00ED0F8A"/>
    <w:rsid w:val="00ED60F7"/>
    <w:rsid w:val="00EE0D21"/>
    <w:rsid w:val="00EE1305"/>
    <w:rsid w:val="00EE19DD"/>
    <w:rsid w:val="00F012C9"/>
    <w:rsid w:val="00F03134"/>
    <w:rsid w:val="00F25557"/>
    <w:rsid w:val="00F30A29"/>
    <w:rsid w:val="00F33317"/>
    <w:rsid w:val="00F36915"/>
    <w:rsid w:val="00F5433D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lidator.w3.org/" TargetMode="Externa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callto:1234567890" TargetMode="Externa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19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hyperlink" Target="https://validator.w3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1193</TotalTime>
  <Pages>23</Pages>
  <Words>4949</Words>
  <Characters>29694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34574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43</cp:revision>
  <cp:lastPrinted>2020-02-11T07:44:00Z</cp:lastPrinted>
  <dcterms:created xsi:type="dcterms:W3CDTF">2022-08-03T06:15:00Z</dcterms:created>
  <dcterms:modified xsi:type="dcterms:W3CDTF">2023-03-08T13:23:00Z</dcterms:modified>
</cp:coreProperties>
</file>