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B428C0" w:rsidRDefault="00B428C0" w:rsidP="00B428C0">
      <w:pPr>
        <w:spacing w:after="480" w:line="276" w:lineRule="auto"/>
        <w:jc w:val="right"/>
        <w:rPr>
          <w:rFonts w:ascii="Verdana" w:hAnsi="Verdana"/>
          <w:b/>
        </w:rPr>
      </w:pPr>
      <w:bookmarkStart w:id="0" w:name="_GoBack"/>
      <w:bookmarkEnd w:id="0"/>
      <w:r w:rsidRPr="00B428C0">
        <w:rPr>
          <w:rFonts w:ascii="Verdana" w:hAnsi="Verdana"/>
          <w:b/>
        </w:rPr>
        <w:t>ZAŁĄCZNIK NR 9</w:t>
      </w:r>
      <w:r w:rsidR="006012C1" w:rsidRPr="00B428C0">
        <w:rPr>
          <w:rFonts w:ascii="Verdana" w:hAnsi="Verdana"/>
          <w:b/>
        </w:rPr>
        <w:t xml:space="preserve"> DO SIWZ</w:t>
      </w:r>
    </w:p>
    <w:p w:rsidR="00E97A92" w:rsidRPr="00B428C0" w:rsidRDefault="00B428C0" w:rsidP="00B428C0">
      <w:pPr>
        <w:spacing w:before="240" w:after="0" w:line="276" w:lineRule="auto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 xml:space="preserve">OŚWIADCZENIE </w:t>
      </w:r>
    </w:p>
    <w:p w:rsidR="00B428C0" w:rsidRPr="00B428C0" w:rsidRDefault="00B428C0" w:rsidP="00B428C0">
      <w:pPr>
        <w:spacing w:before="240" w:after="0" w:line="276" w:lineRule="auto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>PRODUKT RÓWNOWAŻNY</w:t>
      </w:r>
    </w:p>
    <w:p w:rsidR="00B428C0" w:rsidRPr="00B428C0" w:rsidRDefault="00B428C0" w:rsidP="00B428C0">
      <w:pPr>
        <w:spacing w:before="240" w:after="0" w:line="276" w:lineRule="auto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 xml:space="preserve">Oświadczam, że w postepowaniu: </w:t>
      </w:r>
      <w:r w:rsidR="00AC0BFA" w:rsidRPr="00AC0BFA">
        <w:rPr>
          <w:rFonts w:ascii="Verdana" w:hAnsi="Verdana"/>
          <w:b/>
        </w:rPr>
        <w:t xml:space="preserve">Zapewnienie wsparcia na oprogramowanie </w:t>
      </w:r>
      <w:proofErr w:type="spellStart"/>
      <w:r w:rsidR="00AC0BFA" w:rsidRPr="00AC0BFA">
        <w:rPr>
          <w:rFonts w:ascii="Verdana" w:hAnsi="Verdana"/>
          <w:b/>
        </w:rPr>
        <w:t>Commvault</w:t>
      </w:r>
      <w:proofErr w:type="spellEnd"/>
      <w:r w:rsidR="00AC0BFA" w:rsidRPr="00AC0BFA">
        <w:rPr>
          <w:rFonts w:ascii="Verdana" w:hAnsi="Verdana"/>
          <w:b/>
        </w:rPr>
        <w:t xml:space="preserve"> oraz dostawa dodatkowych licencji</w:t>
      </w:r>
      <w:r w:rsidRPr="00B428C0">
        <w:rPr>
          <w:rFonts w:ascii="Verdana" w:hAnsi="Verdana"/>
          <w:b/>
        </w:rPr>
        <w:t xml:space="preserve">, oferuję, w ramach dostawy licencji oprogramowania do wykonywania kopii zapasowych , produkt </w:t>
      </w:r>
      <w:proofErr w:type="gramStart"/>
      <w:r w:rsidRPr="00B428C0">
        <w:rPr>
          <w:rFonts w:ascii="Verdana" w:hAnsi="Verdana"/>
          <w:b/>
        </w:rPr>
        <w:t>równoważny  do</w:t>
      </w:r>
      <w:proofErr w:type="gramEnd"/>
      <w:r w:rsidRPr="00B428C0">
        <w:rPr>
          <w:rFonts w:ascii="Verdana" w:hAnsi="Verdana"/>
          <w:b/>
        </w:rPr>
        <w:t xml:space="preserve"> wskazanego w załączniku nr 1 d Umowy, tj.:</w:t>
      </w:r>
    </w:p>
    <w:p w:rsidR="00B428C0" w:rsidRPr="00B428C0" w:rsidRDefault="00B428C0" w:rsidP="00B428C0">
      <w:pPr>
        <w:spacing w:before="240" w:after="0" w:line="276" w:lineRule="auto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 xml:space="preserve">_________________________________________________ </w:t>
      </w:r>
      <w:r w:rsidRPr="00B428C0">
        <w:rPr>
          <w:rFonts w:ascii="Verdana" w:hAnsi="Verdana"/>
          <w:b/>
        </w:rPr>
        <w:br/>
        <w:t>(podać pełną nazwę i wszystkie parametry pozwalające na jednoznaczną identyfikację produktu)</w:t>
      </w:r>
    </w:p>
    <w:p w:rsidR="00B428C0" w:rsidRPr="00B428C0" w:rsidRDefault="00B428C0" w:rsidP="00B428C0">
      <w:pPr>
        <w:spacing w:before="240" w:after="0" w:line="276" w:lineRule="auto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 xml:space="preserve">Jednocześnie oświadczam, że </w:t>
      </w:r>
    </w:p>
    <w:p w:rsidR="00B428C0" w:rsidRPr="00AC0BFA" w:rsidRDefault="00B428C0" w:rsidP="00AC0BFA">
      <w:pPr>
        <w:widowControl w:val="0"/>
        <w:spacing w:before="240"/>
        <w:rPr>
          <w:rFonts w:ascii="Verdana" w:hAnsi="Verdana" w:cs="Arial"/>
          <w:iCs/>
          <w:color w:val="000000"/>
          <w:lang w:eastAsia="pl-PL"/>
        </w:rPr>
      </w:pPr>
      <w:proofErr w:type="gramStart"/>
      <w:r w:rsidRPr="00AC0BFA">
        <w:rPr>
          <w:rFonts w:ascii="Verdana" w:hAnsi="Verdana" w:cs="Arial"/>
          <w:iCs/>
          <w:color w:val="000000"/>
          <w:lang w:eastAsia="pl-PL"/>
        </w:rPr>
        <w:t>zaoferowane</w:t>
      </w:r>
      <w:proofErr w:type="gramEnd"/>
      <w:r w:rsidRPr="00AC0BFA">
        <w:rPr>
          <w:rFonts w:ascii="Verdana" w:hAnsi="Verdana" w:cs="Arial"/>
          <w:iCs/>
          <w:color w:val="000000"/>
          <w:lang w:eastAsia="pl-PL"/>
        </w:rPr>
        <w:t xml:space="preserve"> równoważne rozwiązanie dla licencji pojemnościowych:</w:t>
      </w:r>
    </w:p>
    <w:p w:rsidR="00B428C0" w:rsidRPr="00B428C0" w:rsidRDefault="00B428C0" w:rsidP="00AC0BFA">
      <w:pPr>
        <w:pStyle w:val="Akapitzlist"/>
        <w:widowControl w:val="0"/>
        <w:numPr>
          <w:ilvl w:val="2"/>
          <w:numId w:val="7"/>
        </w:numPr>
        <w:spacing w:before="240"/>
        <w:rPr>
          <w:rFonts w:ascii="Verdana" w:hAnsi="Verdana" w:cs="Arial"/>
          <w:iCs/>
          <w:color w:val="000000"/>
          <w:sz w:val="22"/>
          <w:szCs w:val="22"/>
          <w:lang w:eastAsia="pl-PL"/>
        </w:rPr>
      </w:pPr>
      <w:proofErr w:type="gramStart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zapewnia</w:t>
      </w:r>
      <w:proofErr w:type="gramEnd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 xml:space="preserve"> możliwość wykonywania kopii zapasowych oraz odtwarzania następujących typów systemów operacyjnych, baz danych i aplikacji: IBM AIX, Linux, Windows, MSSQL, Oracle, </w:t>
      </w:r>
      <w:proofErr w:type="spellStart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PostgreSQL</w:t>
      </w:r>
      <w:proofErr w:type="spellEnd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, DB2, Active Directory, Exchange. Wykonywanie kopii zapasowych nie może wymagać zatrzymywania baz danych czy aplikacji.</w:t>
      </w:r>
    </w:p>
    <w:p w:rsidR="00B428C0" w:rsidRPr="00B428C0" w:rsidRDefault="00B428C0" w:rsidP="00AC0BFA">
      <w:pPr>
        <w:widowControl w:val="0"/>
        <w:numPr>
          <w:ilvl w:val="2"/>
          <w:numId w:val="7"/>
        </w:numPr>
        <w:spacing w:before="240" w:after="0" w:line="240" w:lineRule="auto"/>
        <w:rPr>
          <w:rFonts w:ascii="Verdana" w:eastAsia="Times New Roman" w:hAnsi="Verdana" w:cs="Arial"/>
          <w:iCs/>
          <w:color w:val="000000"/>
          <w:lang w:eastAsia="pl-PL"/>
        </w:rPr>
      </w:pP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wspiera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funkcjonalność 1-Touch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Bare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Metal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Recovery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>, czyli umożliwiać odzyskanie systemów z uszkodzonymi komponentami, takimi jak niedostępne woluminy lub uszkodzone dyski z tą samą lub różnymi konfiguracjami sprzętowymi bez ręcznego instalowania poszczególnych pakietów oprogramowania lub systemów operacyjnych.</w:t>
      </w:r>
    </w:p>
    <w:p w:rsidR="00B428C0" w:rsidRPr="00B428C0" w:rsidRDefault="00B428C0" w:rsidP="00AC0BFA">
      <w:pPr>
        <w:widowControl w:val="0"/>
        <w:numPr>
          <w:ilvl w:val="2"/>
          <w:numId w:val="7"/>
        </w:numPr>
        <w:spacing w:before="240" w:after="0" w:line="240" w:lineRule="auto"/>
        <w:rPr>
          <w:rFonts w:ascii="Verdana" w:eastAsia="Times New Roman" w:hAnsi="Verdana" w:cs="Arial"/>
          <w:iCs/>
          <w:color w:val="000000"/>
          <w:lang w:eastAsia="pl-PL"/>
        </w:rPr>
      </w:pP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wspiera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wykonywanie kopii zapasowych z klastrów np. Microsoft Cluster (MSCS) oraz klastrów innych niż MSCS.</w:t>
      </w:r>
    </w:p>
    <w:p w:rsidR="00B428C0" w:rsidRPr="00B428C0" w:rsidRDefault="00B428C0" w:rsidP="00AC0BFA">
      <w:pPr>
        <w:widowControl w:val="0"/>
        <w:numPr>
          <w:ilvl w:val="2"/>
          <w:numId w:val="7"/>
        </w:numPr>
        <w:spacing w:before="240" w:after="0" w:line="240" w:lineRule="auto"/>
        <w:rPr>
          <w:rFonts w:ascii="Verdana" w:eastAsia="Times New Roman" w:hAnsi="Verdana" w:cs="Arial"/>
          <w:iCs/>
          <w:color w:val="000000"/>
          <w:lang w:eastAsia="pl-PL"/>
        </w:rPr>
      </w:pP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umożliwia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wykonywanie następujących kopii zapasowych: kopia różnicowa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differential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backup), pełna kopia zapasowa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full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backup), przyrostowa kopia zapasowa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incremental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backup), syntetyczna pełna kopia zapasowa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synthetic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full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backup)</w:t>
      </w:r>
    </w:p>
    <w:p w:rsidR="00B428C0" w:rsidRPr="00B428C0" w:rsidRDefault="00B428C0" w:rsidP="00AC0BFA">
      <w:pPr>
        <w:widowControl w:val="0"/>
        <w:numPr>
          <w:ilvl w:val="2"/>
          <w:numId w:val="7"/>
        </w:numPr>
        <w:spacing w:before="240" w:after="0" w:line="240" w:lineRule="auto"/>
        <w:rPr>
          <w:rFonts w:ascii="Verdana" w:eastAsia="Times New Roman" w:hAnsi="Verdana" w:cs="Arial"/>
          <w:iCs/>
          <w:color w:val="000000"/>
          <w:lang w:eastAsia="pl-PL"/>
        </w:rPr>
      </w:pP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umożliwia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wykonanie kopii zapasowych maszyn wirtualnych z wszystkich wskazanych systemów wirtualizacji: Microsoft Hyper-V, Oracle VM,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VMware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vCenter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or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ESX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server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),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Kubernetes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,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Citrix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Hypervisor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XenServer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>)</w:t>
      </w:r>
    </w:p>
    <w:p w:rsidR="00B428C0" w:rsidRPr="00AC0BFA" w:rsidRDefault="00B428C0" w:rsidP="00AC0BFA">
      <w:pPr>
        <w:widowControl w:val="0"/>
        <w:spacing w:before="240"/>
        <w:rPr>
          <w:rFonts w:ascii="Verdana" w:hAnsi="Verdana" w:cs="Arial"/>
          <w:iCs/>
          <w:color w:val="000000"/>
          <w:lang w:eastAsia="pl-PL"/>
        </w:rPr>
      </w:pPr>
      <w:proofErr w:type="gramStart"/>
      <w:r w:rsidRPr="00AC0BFA">
        <w:rPr>
          <w:rFonts w:ascii="Verdana" w:hAnsi="Verdana" w:cs="Arial"/>
          <w:iCs/>
          <w:color w:val="000000"/>
          <w:lang w:eastAsia="pl-PL"/>
        </w:rPr>
        <w:t>dla</w:t>
      </w:r>
      <w:proofErr w:type="gramEnd"/>
      <w:r w:rsidRPr="00AC0BFA">
        <w:rPr>
          <w:rFonts w:ascii="Verdana" w:hAnsi="Verdana" w:cs="Arial"/>
          <w:iCs/>
          <w:color w:val="000000"/>
          <w:lang w:eastAsia="pl-PL"/>
        </w:rPr>
        <w:t xml:space="preserve"> wszystkich rozwiązań wymienionych w pkt. 1-5 i:</w:t>
      </w:r>
    </w:p>
    <w:p w:rsidR="00B428C0" w:rsidRPr="00B428C0" w:rsidRDefault="00B428C0" w:rsidP="00AC0BFA">
      <w:pPr>
        <w:widowControl w:val="0"/>
        <w:numPr>
          <w:ilvl w:val="2"/>
          <w:numId w:val="7"/>
        </w:numPr>
        <w:spacing w:before="240" w:after="0" w:line="240" w:lineRule="auto"/>
        <w:rPr>
          <w:rFonts w:ascii="Verdana" w:eastAsia="Times New Roman" w:hAnsi="Verdana" w:cs="Arial"/>
          <w:iCs/>
          <w:color w:val="000000"/>
          <w:lang w:eastAsia="pl-PL"/>
        </w:rPr>
      </w:pP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wykorzystuje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systemy składowania danych Zamawiającego zarówno dyskowe jak i taśmowe. Jeżeli zaoferowane rozwiązanie nie będzie się integrować z wykorzystywanymi przez Zamawiającego systemami backupowymi to Wykonawca zobowiązany jest do rozbudowy zasobów sprzętowych </w:t>
      </w:r>
      <w:r w:rsidRPr="00B428C0">
        <w:rPr>
          <w:rFonts w:ascii="Verdana" w:eastAsia="Times New Roman" w:hAnsi="Verdana" w:cs="Arial"/>
          <w:iCs/>
          <w:color w:val="000000"/>
          <w:lang w:eastAsia="pl-PL"/>
        </w:rPr>
        <w:lastRenderedPageBreak/>
        <w:t xml:space="preserve">Zamawiającego (macierze dyskowe, biblioteki taśmowe) </w:t>
      </w: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tak aby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zbackupowane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dane były przechowywane w obu CPD (Centrum Przetwarzania Danych) Zamawiającego z takimi samymi retencjami oraz ilością kopii jak w systemach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backopowych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Zamawiającego.</w:t>
      </w:r>
    </w:p>
    <w:p w:rsidR="00B428C0" w:rsidRPr="00B428C0" w:rsidRDefault="00B428C0" w:rsidP="00AC0BFA">
      <w:pPr>
        <w:widowControl w:val="0"/>
        <w:numPr>
          <w:ilvl w:val="2"/>
          <w:numId w:val="7"/>
        </w:numPr>
        <w:spacing w:before="240" w:line="240" w:lineRule="auto"/>
        <w:rPr>
          <w:rFonts w:ascii="Verdana" w:eastAsia="Times New Roman" w:hAnsi="Verdana" w:cs="Arial"/>
          <w:iCs/>
          <w:color w:val="000000"/>
          <w:lang w:eastAsia="pl-PL"/>
        </w:rPr>
      </w:pPr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proponowane rozwiązanie jest wspierane przez posiadane przez Zamawiającego biblioteki taśmowe co </w:t>
      </w:r>
      <w:r w:rsidR="00AC0BFA">
        <w:rPr>
          <w:rFonts w:ascii="Verdana" w:eastAsia="Times New Roman" w:hAnsi="Verdana" w:cs="Arial"/>
          <w:iCs/>
          <w:color w:val="000000"/>
          <w:lang w:eastAsia="pl-PL"/>
        </w:rPr>
        <w:t>będzie</w:t>
      </w:r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potwierdzone w publicznie dostępnym dokumencie producenta bibliotek taśmowych Zamawiającego np. na stronie: https</w:t>
      </w: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://www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>.</w:t>
      </w: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ibm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>.com/downloads/cas/ORLZ7EMG</w:t>
      </w:r>
    </w:p>
    <w:p w:rsidR="00B428C0" w:rsidRPr="00B428C0" w:rsidRDefault="00B428C0" w:rsidP="00AC0BFA">
      <w:pPr>
        <w:numPr>
          <w:ilvl w:val="2"/>
          <w:numId w:val="7"/>
        </w:numPr>
        <w:spacing w:line="240" w:lineRule="auto"/>
        <w:contextualSpacing/>
        <w:rPr>
          <w:rFonts w:ascii="Verdana" w:eastAsia="Times New Roman" w:hAnsi="Verdana" w:cs="Arial"/>
          <w:iCs/>
          <w:color w:val="000000"/>
          <w:lang w:eastAsia="pl-PL"/>
        </w:rPr>
      </w:pPr>
      <w:r w:rsidRPr="00B428C0">
        <w:rPr>
          <w:rFonts w:ascii="Verdana" w:eastAsia="Times New Roman" w:hAnsi="Verdana" w:cs="Arial"/>
          <w:iCs/>
          <w:color w:val="000000"/>
          <w:lang w:eastAsia="pl-PL"/>
        </w:rPr>
        <w:t>Proponowane rozwiązanie zapewnia m.in. funkcjonalność WORM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write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once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read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many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>).</w:t>
      </w:r>
    </w:p>
    <w:p w:rsidR="006012C1" w:rsidRPr="00B428C0" w:rsidRDefault="006012C1" w:rsidP="00AC0BFA">
      <w:pPr>
        <w:pStyle w:val="Tekstkomentarza"/>
        <w:spacing w:after="160" w:line="276" w:lineRule="auto"/>
        <w:ind w:left="709"/>
        <w:rPr>
          <w:rFonts w:ascii="Verdana" w:hAnsi="Verdana"/>
          <w:b/>
          <w:color w:val="FF0000"/>
          <w:sz w:val="22"/>
          <w:szCs w:val="22"/>
        </w:rPr>
      </w:pPr>
    </w:p>
    <w:sectPr w:rsidR="006012C1" w:rsidRPr="00B428C0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1C9234D"/>
    <w:multiLevelType w:val="multilevel"/>
    <w:tmpl w:val="537E91D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357" w:hanging="357"/>
      </w:pPr>
      <w:rPr>
        <w:rFonts w:ascii="Verdana" w:eastAsia="Times New Roman" w:hAnsi="Verdana" w:cs="Arial"/>
      </w:rPr>
    </w:lvl>
    <w:lvl w:ilvl="2">
      <w:start w:val="1"/>
      <w:numFmt w:val="decimal"/>
      <w:lvlText w:val="%3."/>
      <w:lvlJc w:val="left"/>
      <w:pPr>
        <w:ind w:left="357" w:hanging="357"/>
      </w:pPr>
      <w:rPr>
        <w:rFonts w:ascii="Verdana" w:eastAsia="Times New Roman" w:hAnsi="Verdana" w:cs="Arial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5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238CB"/>
    <w:rsid w:val="008313E4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AC0BFA"/>
    <w:rsid w:val="00B428C0"/>
    <w:rsid w:val="00B45AE9"/>
    <w:rsid w:val="00B672CF"/>
    <w:rsid w:val="00B74AF3"/>
    <w:rsid w:val="00B91AD3"/>
    <w:rsid w:val="00BA7DFB"/>
    <w:rsid w:val="00BE37C2"/>
    <w:rsid w:val="00C03F4F"/>
    <w:rsid w:val="00C20FC2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DF30E1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0F6F1-24E9-4F1E-8AC7-5994D84E9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2023-08-04T06:06:00Z</dcterms:created>
  <dcterms:modified xsi:type="dcterms:W3CDTF">2023-08-04T06:06:00Z</dcterms:modified>
</cp:coreProperties>
</file>